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28" w:rsidRPr="00196366" w:rsidRDefault="00C15FC4" w:rsidP="007C2539">
      <w:pPr>
        <w:spacing w:line="500" w:lineRule="exact"/>
        <w:jc w:val="center"/>
        <w:rPr>
          <w:rFonts w:ascii="方正小标宋简体" w:eastAsia="方正小标宋简体"/>
          <w:b/>
          <w:spacing w:val="20"/>
          <w:sz w:val="44"/>
          <w:szCs w:val="44"/>
        </w:rPr>
      </w:pPr>
      <w:r w:rsidRPr="00196366">
        <w:rPr>
          <w:rFonts w:ascii="方正小标宋简体" w:eastAsia="方正小标宋简体" w:hint="eastAsia"/>
          <w:b/>
          <w:spacing w:val="20"/>
          <w:sz w:val="44"/>
          <w:szCs w:val="44"/>
        </w:rPr>
        <w:t>办公用房</w:t>
      </w:r>
    </w:p>
    <w:p w:rsidR="007C2539" w:rsidRPr="007C2539" w:rsidRDefault="007C2539" w:rsidP="007C2539">
      <w:pPr>
        <w:spacing w:line="500" w:lineRule="exact"/>
        <w:jc w:val="center"/>
        <w:rPr>
          <w:rFonts w:ascii="方正小标宋简体" w:eastAsia="方正小标宋简体"/>
          <w:sz w:val="32"/>
          <w:szCs w:val="32"/>
        </w:rPr>
      </w:pPr>
    </w:p>
    <w:p w:rsidR="00C15FC4" w:rsidRPr="00196366" w:rsidRDefault="00B7013A" w:rsidP="00196366">
      <w:pPr>
        <w:shd w:val="clear" w:color="auto" w:fill="FFFFFF"/>
        <w:spacing w:line="580" w:lineRule="exact"/>
        <w:ind w:firstLineChars="200" w:firstLine="600"/>
        <w:jc w:val="left"/>
        <w:rPr>
          <w:rFonts w:ascii="仿宋_GB2312" w:eastAsia="仿宋_GB2312" w:hAnsi="Simsun" w:cs="宋体" w:hint="eastAsia"/>
          <w:color w:val="000000"/>
          <w:kern w:val="0"/>
          <w:sz w:val="30"/>
          <w:szCs w:val="30"/>
        </w:rPr>
      </w:pPr>
      <w:r w:rsidRPr="00196366">
        <w:rPr>
          <w:rFonts w:ascii="仿宋_GB2312" w:eastAsia="仿宋_GB2312" w:hint="eastAsia"/>
          <w:sz w:val="30"/>
          <w:szCs w:val="30"/>
        </w:rPr>
        <w:t>一、</w:t>
      </w:r>
      <w:r w:rsidR="00C15FC4" w:rsidRPr="00196366">
        <w:rPr>
          <w:rFonts w:ascii="仿宋_GB2312" w:eastAsia="仿宋_GB2312" w:hAnsi="宋体" w:cs="宋体" w:hint="eastAsia"/>
          <w:color w:val="000000"/>
          <w:kern w:val="0"/>
          <w:sz w:val="30"/>
          <w:szCs w:val="30"/>
        </w:rPr>
        <w:t>办公室使用面积标准</w:t>
      </w:r>
    </w:p>
    <w:tbl>
      <w:tblPr>
        <w:tblW w:w="4274"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277"/>
        <w:gridCol w:w="5008"/>
      </w:tblGrid>
      <w:tr w:rsidR="00C15FC4" w:rsidRPr="00196366" w:rsidTr="00502E2A">
        <w:trPr>
          <w:trHeight w:val="768"/>
          <w:jc w:val="center"/>
        </w:trPr>
        <w:tc>
          <w:tcPr>
            <w:tcW w:w="1563" w:type="pct"/>
            <w:shd w:val="clear" w:color="auto" w:fill="auto"/>
            <w:tcMar>
              <w:top w:w="0" w:type="dxa"/>
              <w:left w:w="108" w:type="dxa"/>
              <w:bottom w:w="0" w:type="dxa"/>
              <w:right w:w="108" w:type="dxa"/>
            </w:tcMar>
            <w:vAlign w:val="center"/>
            <w:hideMark/>
          </w:tcPr>
          <w:p w:rsidR="00C15FC4" w:rsidRPr="00196366" w:rsidRDefault="00C15FC4" w:rsidP="00196366">
            <w:pPr>
              <w:widowControl/>
              <w:spacing w:line="580" w:lineRule="exact"/>
              <w:jc w:val="center"/>
              <w:rPr>
                <w:rFonts w:ascii="楷体_GB2312" w:eastAsia="楷体_GB2312" w:hAnsi="宋体" w:cs="宋体"/>
                <w:kern w:val="0"/>
                <w:sz w:val="30"/>
                <w:szCs w:val="30"/>
              </w:rPr>
            </w:pPr>
            <w:r w:rsidRPr="00196366">
              <w:rPr>
                <w:rFonts w:ascii="楷体_GB2312" w:eastAsia="楷体_GB2312" w:hAnsi="宋体" w:cs="宋体" w:hint="eastAsia"/>
                <w:kern w:val="0"/>
                <w:sz w:val="30"/>
                <w:szCs w:val="30"/>
              </w:rPr>
              <w:t>适用对象</w:t>
            </w:r>
          </w:p>
        </w:tc>
        <w:tc>
          <w:tcPr>
            <w:tcW w:w="3437" w:type="pct"/>
            <w:shd w:val="clear" w:color="auto" w:fill="auto"/>
            <w:tcMar>
              <w:top w:w="0" w:type="dxa"/>
              <w:left w:w="108" w:type="dxa"/>
              <w:bottom w:w="0" w:type="dxa"/>
              <w:right w:w="108" w:type="dxa"/>
            </w:tcMar>
            <w:vAlign w:val="center"/>
            <w:hideMark/>
          </w:tcPr>
          <w:p w:rsidR="00C15FC4" w:rsidRPr="00196366" w:rsidRDefault="00C15FC4" w:rsidP="00196366">
            <w:pPr>
              <w:widowControl/>
              <w:spacing w:line="580" w:lineRule="exact"/>
              <w:jc w:val="center"/>
              <w:rPr>
                <w:rFonts w:ascii="楷体_GB2312" w:eastAsia="楷体_GB2312" w:hAnsi="宋体" w:cs="宋体"/>
                <w:kern w:val="0"/>
                <w:sz w:val="30"/>
                <w:szCs w:val="30"/>
              </w:rPr>
            </w:pPr>
            <w:r w:rsidRPr="00196366">
              <w:rPr>
                <w:rFonts w:ascii="楷体_GB2312" w:eastAsia="楷体_GB2312" w:hAnsi="宋体" w:cs="宋体" w:hint="eastAsia"/>
                <w:kern w:val="0"/>
                <w:sz w:val="30"/>
                <w:szCs w:val="30"/>
              </w:rPr>
              <w:t>使用面积标准（平方米/人）</w:t>
            </w:r>
          </w:p>
        </w:tc>
      </w:tr>
      <w:tr w:rsidR="00C15FC4" w:rsidRPr="00196366" w:rsidTr="00502E2A">
        <w:trPr>
          <w:trHeight w:val="558"/>
          <w:jc w:val="center"/>
        </w:trPr>
        <w:tc>
          <w:tcPr>
            <w:tcW w:w="1563" w:type="pct"/>
            <w:shd w:val="clear" w:color="auto" w:fill="auto"/>
            <w:tcMar>
              <w:top w:w="0" w:type="dxa"/>
              <w:left w:w="108" w:type="dxa"/>
              <w:bottom w:w="0" w:type="dxa"/>
              <w:right w:w="108" w:type="dxa"/>
            </w:tcMar>
            <w:vAlign w:val="center"/>
            <w:hideMark/>
          </w:tcPr>
          <w:p w:rsidR="00C15FC4" w:rsidRPr="00196366" w:rsidRDefault="00C15FC4" w:rsidP="00196366">
            <w:pPr>
              <w:widowControl/>
              <w:spacing w:line="580" w:lineRule="exact"/>
              <w:jc w:val="center"/>
              <w:rPr>
                <w:rFonts w:ascii="楷体_GB2312" w:eastAsia="楷体_GB2312" w:hAnsi="宋体" w:cs="宋体"/>
                <w:kern w:val="0"/>
                <w:sz w:val="30"/>
                <w:szCs w:val="30"/>
              </w:rPr>
            </w:pPr>
            <w:r w:rsidRPr="00196366">
              <w:rPr>
                <w:rFonts w:ascii="楷体_GB2312" w:eastAsia="楷体_GB2312" w:hAnsi="宋体" w:cs="宋体" w:hint="eastAsia"/>
                <w:kern w:val="0"/>
                <w:sz w:val="30"/>
                <w:szCs w:val="30"/>
              </w:rPr>
              <w:t>副部级</w:t>
            </w:r>
          </w:p>
        </w:tc>
        <w:tc>
          <w:tcPr>
            <w:tcW w:w="3437" w:type="pct"/>
            <w:shd w:val="clear" w:color="auto" w:fill="auto"/>
            <w:tcMar>
              <w:top w:w="0" w:type="dxa"/>
              <w:left w:w="108" w:type="dxa"/>
              <w:bottom w:w="0" w:type="dxa"/>
              <w:right w:w="108" w:type="dxa"/>
            </w:tcMar>
            <w:vAlign w:val="center"/>
            <w:hideMark/>
          </w:tcPr>
          <w:p w:rsidR="00C15FC4" w:rsidRPr="00196366" w:rsidRDefault="00C15FC4" w:rsidP="00196366">
            <w:pPr>
              <w:widowControl/>
              <w:spacing w:line="580" w:lineRule="exact"/>
              <w:jc w:val="center"/>
              <w:rPr>
                <w:rFonts w:ascii="楷体_GB2312" w:eastAsia="楷体_GB2312" w:hAnsi="宋体" w:cs="宋体"/>
                <w:kern w:val="0"/>
                <w:sz w:val="30"/>
                <w:szCs w:val="30"/>
              </w:rPr>
            </w:pPr>
            <w:r w:rsidRPr="00196366">
              <w:rPr>
                <w:rFonts w:ascii="楷体_GB2312" w:eastAsia="楷体_GB2312" w:hAnsi="宋体" w:cs="宋体" w:hint="eastAsia"/>
                <w:kern w:val="0"/>
                <w:sz w:val="30"/>
                <w:szCs w:val="30"/>
              </w:rPr>
              <w:t>42</w:t>
            </w:r>
          </w:p>
        </w:tc>
      </w:tr>
      <w:tr w:rsidR="00C15FC4" w:rsidRPr="00196366" w:rsidTr="00502E2A">
        <w:trPr>
          <w:jc w:val="center"/>
        </w:trPr>
        <w:tc>
          <w:tcPr>
            <w:tcW w:w="1563" w:type="pct"/>
            <w:shd w:val="clear" w:color="auto" w:fill="auto"/>
            <w:tcMar>
              <w:top w:w="0" w:type="dxa"/>
              <w:left w:w="108" w:type="dxa"/>
              <w:bottom w:w="0" w:type="dxa"/>
              <w:right w:w="108" w:type="dxa"/>
            </w:tcMar>
            <w:vAlign w:val="center"/>
            <w:hideMark/>
          </w:tcPr>
          <w:p w:rsidR="00C15FC4" w:rsidRPr="00196366" w:rsidRDefault="00C15FC4" w:rsidP="00196366">
            <w:pPr>
              <w:widowControl/>
              <w:spacing w:line="580" w:lineRule="exact"/>
              <w:jc w:val="center"/>
              <w:rPr>
                <w:rFonts w:ascii="楷体_GB2312" w:eastAsia="楷体_GB2312" w:hAnsi="宋体" w:cs="宋体"/>
                <w:kern w:val="0"/>
                <w:sz w:val="30"/>
                <w:szCs w:val="30"/>
              </w:rPr>
            </w:pPr>
            <w:r w:rsidRPr="00196366">
              <w:rPr>
                <w:rFonts w:ascii="楷体_GB2312" w:eastAsia="楷体_GB2312" w:hAnsi="宋体" w:cs="宋体" w:hint="eastAsia"/>
                <w:kern w:val="0"/>
                <w:sz w:val="30"/>
                <w:szCs w:val="30"/>
              </w:rPr>
              <w:t>正厅（局）级</w:t>
            </w:r>
          </w:p>
        </w:tc>
        <w:tc>
          <w:tcPr>
            <w:tcW w:w="3437" w:type="pct"/>
            <w:shd w:val="clear" w:color="auto" w:fill="auto"/>
            <w:tcMar>
              <w:top w:w="0" w:type="dxa"/>
              <w:left w:w="108" w:type="dxa"/>
              <w:bottom w:w="0" w:type="dxa"/>
              <w:right w:w="108" w:type="dxa"/>
            </w:tcMar>
            <w:vAlign w:val="center"/>
            <w:hideMark/>
          </w:tcPr>
          <w:p w:rsidR="00C15FC4" w:rsidRPr="00196366" w:rsidRDefault="00C15FC4" w:rsidP="00196366">
            <w:pPr>
              <w:widowControl/>
              <w:spacing w:line="580" w:lineRule="exact"/>
              <w:jc w:val="center"/>
              <w:rPr>
                <w:rFonts w:ascii="楷体_GB2312" w:eastAsia="楷体_GB2312" w:hAnsi="宋体" w:cs="宋体"/>
                <w:kern w:val="0"/>
                <w:sz w:val="30"/>
                <w:szCs w:val="30"/>
              </w:rPr>
            </w:pPr>
            <w:r w:rsidRPr="00196366">
              <w:rPr>
                <w:rFonts w:ascii="楷体_GB2312" w:eastAsia="楷体_GB2312" w:hAnsi="宋体" w:cs="宋体" w:hint="eastAsia"/>
                <w:kern w:val="0"/>
                <w:sz w:val="30"/>
                <w:szCs w:val="30"/>
              </w:rPr>
              <w:t>30</w:t>
            </w:r>
          </w:p>
        </w:tc>
      </w:tr>
      <w:tr w:rsidR="00C15FC4" w:rsidRPr="00196366" w:rsidTr="00502E2A">
        <w:trPr>
          <w:jc w:val="center"/>
        </w:trPr>
        <w:tc>
          <w:tcPr>
            <w:tcW w:w="1563" w:type="pct"/>
            <w:shd w:val="clear" w:color="auto" w:fill="auto"/>
            <w:tcMar>
              <w:top w:w="0" w:type="dxa"/>
              <w:left w:w="108" w:type="dxa"/>
              <w:bottom w:w="0" w:type="dxa"/>
              <w:right w:w="108" w:type="dxa"/>
            </w:tcMar>
            <w:vAlign w:val="center"/>
            <w:hideMark/>
          </w:tcPr>
          <w:p w:rsidR="00C15FC4" w:rsidRPr="00196366" w:rsidRDefault="00C15FC4" w:rsidP="00196366">
            <w:pPr>
              <w:widowControl/>
              <w:spacing w:line="580" w:lineRule="exact"/>
              <w:jc w:val="center"/>
              <w:rPr>
                <w:rFonts w:ascii="楷体_GB2312" w:eastAsia="楷体_GB2312" w:hAnsi="宋体" w:cs="宋体"/>
                <w:kern w:val="0"/>
                <w:sz w:val="30"/>
                <w:szCs w:val="30"/>
              </w:rPr>
            </w:pPr>
            <w:r w:rsidRPr="00196366">
              <w:rPr>
                <w:rFonts w:ascii="楷体_GB2312" w:eastAsia="楷体_GB2312" w:hAnsi="宋体" w:cs="宋体" w:hint="eastAsia"/>
                <w:kern w:val="0"/>
                <w:sz w:val="30"/>
                <w:szCs w:val="30"/>
              </w:rPr>
              <w:t>副厅（局）级</w:t>
            </w:r>
          </w:p>
        </w:tc>
        <w:tc>
          <w:tcPr>
            <w:tcW w:w="3437" w:type="pct"/>
            <w:shd w:val="clear" w:color="auto" w:fill="auto"/>
            <w:tcMar>
              <w:top w:w="0" w:type="dxa"/>
              <w:left w:w="108" w:type="dxa"/>
              <w:bottom w:w="0" w:type="dxa"/>
              <w:right w:w="108" w:type="dxa"/>
            </w:tcMar>
            <w:vAlign w:val="center"/>
            <w:hideMark/>
          </w:tcPr>
          <w:p w:rsidR="00C15FC4" w:rsidRPr="00196366" w:rsidRDefault="00C15FC4" w:rsidP="00196366">
            <w:pPr>
              <w:widowControl/>
              <w:spacing w:line="580" w:lineRule="exact"/>
              <w:jc w:val="center"/>
              <w:rPr>
                <w:rFonts w:ascii="楷体_GB2312" w:eastAsia="楷体_GB2312" w:hAnsi="宋体" w:cs="宋体"/>
                <w:kern w:val="0"/>
                <w:sz w:val="30"/>
                <w:szCs w:val="30"/>
              </w:rPr>
            </w:pPr>
            <w:r w:rsidRPr="00196366">
              <w:rPr>
                <w:rFonts w:ascii="楷体_GB2312" w:eastAsia="楷体_GB2312" w:hAnsi="宋体" w:cs="宋体" w:hint="eastAsia"/>
                <w:kern w:val="0"/>
                <w:sz w:val="30"/>
                <w:szCs w:val="30"/>
              </w:rPr>
              <w:t>24</w:t>
            </w:r>
          </w:p>
        </w:tc>
      </w:tr>
      <w:tr w:rsidR="00C15FC4" w:rsidRPr="00196366" w:rsidTr="00502E2A">
        <w:trPr>
          <w:jc w:val="center"/>
        </w:trPr>
        <w:tc>
          <w:tcPr>
            <w:tcW w:w="1563" w:type="pct"/>
            <w:shd w:val="clear" w:color="auto" w:fill="auto"/>
            <w:tcMar>
              <w:top w:w="0" w:type="dxa"/>
              <w:left w:w="108" w:type="dxa"/>
              <w:bottom w:w="0" w:type="dxa"/>
              <w:right w:w="108" w:type="dxa"/>
            </w:tcMar>
            <w:vAlign w:val="center"/>
            <w:hideMark/>
          </w:tcPr>
          <w:p w:rsidR="00C15FC4" w:rsidRPr="00196366" w:rsidRDefault="00C15FC4" w:rsidP="00196366">
            <w:pPr>
              <w:widowControl/>
              <w:spacing w:line="580" w:lineRule="exact"/>
              <w:jc w:val="center"/>
              <w:rPr>
                <w:rFonts w:ascii="楷体_GB2312" w:eastAsia="楷体_GB2312" w:hAnsi="宋体" w:cs="宋体"/>
                <w:kern w:val="0"/>
                <w:sz w:val="30"/>
                <w:szCs w:val="30"/>
              </w:rPr>
            </w:pPr>
            <w:r w:rsidRPr="00196366">
              <w:rPr>
                <w:rFonts w:ascii="楷体_GB2312" w:eastAsia="楷体_GB2312" w:hAnsi="宋体" w:cs="宋体" w:hint="eastAsia"/>
                <w:kern w:val="0"/>
                <w:sz w:val="30"/>
                <w:szCs w:val="30"/>
              </w:rPr>
              <w:t>正处级</w:t>
            </w:r>
          </w:p>
        </w:tc>
        <w:tc>
          <w:tcPr>
            <w:tcW w:w="3437" w:type="pct"/>
            <w:shd w:val="clear" w:color="auto" w:fill="auto"/>
            <w:tcMar>
              <w:top w:w="0" w:type="dxa"/>
              <w:left w:w="108" w:type="dxa"/>
              <w:bottom w:w="0" w:type="dxa"/>
              <w:right w:w="108" w:type="dxa"/>
            </w:tcMar>
            <w:vAlign w:val="center"/>
            <w:hideMark/>
          </w:tcPr>
          <w:p w:rsidR="00C15FC4" w:rsidRPr="00196366" w:rsidRDefault="00C15FC4" w:rsidP="00196366">
            <w:pPr>
              <w:widowControl/>
              <w:spacing w:line="580" w:lineRule="exact"/>
              <w:jc w:val="center"/>
              <w:rPr>
                <w:rFonts w:ascii="楷体_GB2312" w:eastAsia="楷体_GB2312" w:hAnsi="宋体" w:cs="宋体"/>
                <w:kern w:val="0"/>
                <w:sz w:val="30"/>
                <w:szCs w:val="30"/>
              </w:rPr>
            </w:pPr>
            <w:r w:rsidRPr="00196366">
              <w:rPr>
                <w:rFonts w:ascii="楷体_GB2312" w:eastAsia="楷体_GB2312" w:hAnsi="宋体" w:cs="宋体" w:hint="eastAsia"/>
                <w:kern w:val="0"/>
                <w:sz w:val="30"/>
                <w:szCs w:val="30"/>
              </w:rPr>
              <w:t>18</w:t>
            </w:r>
          </w:p>
        </w:tc>
      </w:tr>
      <w:tr w:rsidR="00C15FC4" w:rsidRPr="00196366" w:rsidTr="00502E2A">
        <w:trPr>
          <w:jc w:val="center"/>
        </w:trPr>
        <w:tc>
          <w:tcPr>
            <w:tcW w:w="1563" w:type="pct"/>
            <w:shd w:val="clear" w:color="auto" w:fill="auto"/>
            <w:tcMar>
              <w:top w:w="0" w:type="dxa"/>
              <w:left w:w="108" w:type="dxa"/>
              <w:bottom w:w="0" w:type="dxa"/>
              <w:right w:w="108" w:type="dxa"/>
            </w:tcMar>
            <w:vAlign w:val="center"/>
            <w:hideMark/>
          </w:tcPr>
          <w:p w:rsidR="00C15FC4" w:rsidRPr="00196366" w:rsidRDefault="00C15FC4" w:rsidP="00196366">
            <w:pPr>
              <w:widowControl/>
              <w:spacing w:line="580" w:lineRule="exact"/>
              <w:jc w:val="center"/>
              <w:rPr>
                <w:rFonts w:ascii="楷体_GB2312" w:eastAsia="楷体_GB2312" w:hAnsi="宋体" w:cs="宋体"/>
                <w:kern w:val="0"/>
                <w:sz w:val="30"/>
                <w:szCs w:val="30"/>
              </w:rPr>
            </w:pPr>
            <w:r w:rsidRPr="00196366">
              <w:rPr>
                <w:rFonts w:ascii="楷体_GB2312" w:eastAsia="楷体_GB2312" w:hAnsi="宋体" w:cs="宋体" w:hint="eastAsia"/>
                <w:kern w:val="0"/>
                <w:sz w:val="30"/>
                <w:szCs w:val="30"/>
              </w:rPr>
              <w:t>副处级</w:t>
            </w:r>
          </w:p>
        </w:tc>
        <w:tc>
          <w:tcPr>
            <w:tcW w:w="3437" w:type="pct"/>
            <w:shd w:val="clear" w:color="auto" w:fill="auto"/>
            <w:tcMar>
              <w:top w:w="0" w:type="dxa"/>
              <w:left w:w="108" w:type="dxa"/>
              <w:bottom w:w="0" w:type="dxa"/>
              <w:right w:w="108" w:type="dxa"/>
            </w:tcMar>
            <w:vAlign w:val="center"/>
            <w:hideMark/>
          </w:tcPr>
          <w:p w:rsidR="00C15FC4" w:rsidRPr="00196366" w:rsidRDefault="00C15FC4" w:rsidP="00196366">
            <w:pPr>
              <w:widowControl/>
              <w:spacing w:line="580" w:lineRule="exact"/>
              <w:jc w:val="center"/>
              <w:rPr>
                <w:rFonts w:ascii="楷体_GB2312" w:eastAsia="楷体_GB2312" w:hAnsi="宋体" w:cs="宋体"/>
                <w:kern w:val="0"/>
                <w:sz w:val="30"/>
                <w:szCs w:val="30"/>
              </w:rPr>
            </w:pPr>
            <w:r w:rsidRPr="00196366">
              <w:rPr>
                <w:rFonts w:ascii="楷体_GB2312" w:eastAsia="楷体_GB2312" w:hAnsi="宋体" w:cs="宋体" w:hint="eastAsia"/>
                <w:kern w:val="0"/>
                <w:sz w:val="30"/>
                <w:szCs w:val="30"/>
              </w:rPr>
              <w:t>12</w:t>
            </w:r>
          </w:p>
        </w:tc>
      </w:tr>
      <w:tr w:rsidR="00C15FC4" w:rsidRPr="00196366" w:rsidTr="00502E2A">
        <w:trPr>
          <w:jc w:val="center"/>
        </w:trPr>
        <w:tc>
          <w:tcPr>
            <w:tcW w:w="1563" w:type="pct"/>
            <w:shd w:val="clear" w:color="auto" w:fill="auto"/>
            <w:tcMar>
              <w:top w:w="0" w:type="dxa"/>
              <w:left w:w="108" w:type="dxa"/>
              <w:bottom w:w="0" w:type="dxa"/>
              <w:right w:w="108" w:type="dxa"/>
            </w:tcMar>
            <w:vAlign w:val="center"/>
            <w:hideMark/>
          </w:tcPr>
          <w:p w:rsidR="00C15FC4" w:rsidRPr="00196366" w:rsidRDefault="00C15FC4" w:rsidP="00196366">
            <w:pPr>
              <w:widowControl/>
              <w:spacing w:line="580" w:lineRule="exact"/>
              <w:jc w:val="center"/>
              <w:rPr>
                <w:rFonts w:ascii="楷体_GB2312" w:eastAsia="楷体_GB2312" w:hAnsi="宋体" w:cs="宋体"/>
                <w:kern w:val="0"/>
                <w:sz w:val="30"/>
                <w:szCs w:val="30"/>
              </w:rPr>
            </w:pPr>
            <w:r w:rsidRPr="00196366">
              <w:rPr>
                <w:rFonts w:ascii="楷体_GB2312" w:eastAsia="楷体_GB2312" w:hAnsi="宋体" w:cs="宋体" w:hint="eastAsia"/>
                <w:kern w:val="0"/>
                <w:sz w:val="30"/>
                <w:szCs w:val="30"/>
              </w:rPr>
              <w:t>处级以下</w:t>
            </w:r>
          </w:p>
        </w:tc>
        <w:tc>
          <w:tcPr>
            <w:tcW w:w="3437" w:type="pct"/>
            <w:shd w:val="clear" w:color="auto" w:fill="auto"/>
            <w:tcMar>
              <w:top w:w="0" w:type="dxa"/>
              <w:left w:w="108" w:type="dxa"/>
              <w:bottom w:w="0" w:type="dxa"/>
              <w:right w:w="108" w:type="dxa"/>
            </w:tcMar>
            <w:vAlign w:val="center"/>
            <w:hideMark/>
          </w:tcPr>
          <w:p w:rsidR="00C15FC4" w:rsidRPr="00196366" w:rsidRDefault="00C15FC4" w:rsidP="00196366">
            <w:pPr>
              <w:widowControl/>
              <w:spacing w:line="580" w:lineRule="exact"/>
              <w:jc w:val="center"/>
              <w:rPr>
                <w:rFonts w:ascii="楷体_GB2312" w:eastAsia="楷体_GB2312" w:hAnsi="宋体" w:cs="宋体"/>
                <w:kern w:val="0"/>
                <w:sz w:val="30"/>
                <w:szCs w:val="30"/>
              </w:rPr>
            </w:pPr>
            <w:r w:rsidRPr="00196366">
              <w:rPr>
                <w:rFonts w:ascii="楷体_GB2312" w:eastAsia="楷体_GB2312" w:hAnsi="宋体" w:cs="宋体" w:hint="eastAsia"/>
                <w:kern w:val="0"/>
                <w:sz w:val="30"/>
                <w:szCs w:val="30"/>
              </w:rPr>
              <w:t>9</w:t>
            </w:r>
          </w:p>
        </w:tc>
      </w:tr>
    </w:tbl>
    <w:p w:rsidR="009C2F04" w:rsidRPr="00196366" w:rsidRDefault="00B7013A" w:rsidP="00196366">
      <w:pPr>
        <w:spacing w:line="580" w:lineRule="exact"/>
        <w:ind w:firstLineChars="200" w:firstLine="600"/>
        <w:rPr>
          <w:rFonts w:ascii="仿宋_GB2312" w:eastAsia="仿宋_GB2312"/>
          <w:color w:val="000000" w:themeColor="text1"/>
          <w:sz w:val="30"/>
          <w:szCs w:val="30"/>
          <w:shd w:val="clear" w:color="auto" w:fill="FFFFFF"/>
        </w:rPr>
      </w:pPr>
      <w:r w:rsidRPr="00196366">
        <w:rPr>
          <w:rFonts w:ascii="仿宋_GB2312" w:eastAsia="仿宋_GB2312" w:hAnsi="宋体" w:cs="宋体" w:hint="eastAsia"/>
          <w:color w:val="000000" w:themeColor="text1"/>
          <w:kern w:val="0"/>
          <w:sz w:val="30"/>
          <w:szCs w:val="30"/>
        </w:rPr>
        <w:t>二、</w:t>
      </w:r>
      <w:r w:rsidR="009C2F04" w:rsidRPr="00196366">
        <w:rPr>
          <w:rFonts w:ascii="仿宋_GB2312" w:eastAsia="仿宋_GB2312" w:hint="eastAsia"/>
          <w:color w:val="000000" w:themeColor="text1"/>
          <w:sz w:val="30"/>
          <w:szCs w:val="30"/>
          <w:shd w:val="clear" w:color="auto" w:fill="FFFFFF"/>
        </w:rPr>
        <w:t>办公用房面积超标准配置的，应予以清理并腾退。</w:t>
      </w:r>
    </w:p>
    <w:p w:rsidR="009C2F04" w:rsidRPr="00196366" w:rsidRDefault="009C2F04" w:rsidP="00196366">
      <w:pPr>
        <w:spacing w:line="580" w:lineRule="exact"/>
        <w:ind w:firstLineChars="200" w:firstLine="600"/>
        <w:rPr>
          <w:rFonts w:ascii="仿宋_GB2312" w:eastAsia="仿宋_GB2312"/>
          <w:color w:val="000000" w:themeColor="text1"/>
          <w:sz w:val="30"/>
          <w:szCs w:val="30"/>
          <w:shd w:val="clear" w:color="auto" w:fill="FFFFFF"/>
        </w:rPr>
      </w:pPr>
      <w:r w:rsidRPr="00196366">
        <w:rPr>
          <w:rFonts w:ascii="仿宋_GB2312" w:eastAsia="仿宋_GB2312" w:hint="eastAsia"/>
          <w:color w:val="000000" w:themeColor="text1"/>
          <w:sz w:val="30"/>
          <w:szCs w:val="30"/>
          <w:shd w:val="clear" w:color="auto" w:fill="FFFFFF"/>
        </w:rPr>
        <w:t>三、领导干部在不同部门同时任职的，应在主要工作部门安排一处办公用房，其他任职部门不再安排办公用房。</w:t>
      </w:r>
    </w:p>
    <w:p w:rsidR="009C2F04" w:rsidRPr="00196366" w:rsidRDefault="009C2F04" w:rsidP="00196366">
      <w:pPr>
        <w:spacing w:line="580" w:lineRule="exact"/>
        <w:ind w:firstLineChars="200" w:firstLine="600"/>
        <w:rPr>
          <w:rFonts w:ascii="仿宋_GB2312" w:eastAsia="仿宋_GB2312"/>
          <w:color w:val="000000" w:themeColor="text1"/>
          <w:sz w:val="30"/>
          <w:szCs w:val="30"/>
          <w:shd w:val="clear" w:color="auto" w:fill="FFFFFF"/>
        </w:rPr>
      </w:pPr>
      <w:r w:rsidRPr="00196366">
        <w:rPr>
          <w:rFonts w:ascii="仿宋_GB2312" w:eastAsia="仿宋_GB2312" w:hint="eastAsia"/>
          <w:color w:val="000000" w:themeColor="text1"/>
          <w:sz w:val="30"/>
          <w:szCs w:val="30"/>
          <w:shd w:val="clear" w:color="auto" w:fill="FFFFFF"/>
        </w:rPr>
        <w:t>四、领导干部工作调动的，由调入部门安排办公用房，原单位的办公用房不再保留。</w:t>
      </w:r>
    </w:p>
    <w:p w:rsidR="009C2F04" w:rsidRPr="00196366" w:rsidRDefault="009C2F04" w:rsidP="003371A8">
      <w:pPr>
        <w:spacing w:afterLines="100" w:after="312" w:line="580" w:lineRule="exact"/>
        <w:ind w:firstLineChars="200" w:firstLine="600"/>
        <w:rPr>
          <w:rFonts w:ascii="仿宋_GB2312" w:eastAsia="仿宋_GB2312"/>
          <w:color w:val="000000" w:themeColor="text1"/>
          <w:sz w:val="30"/>
          <w:szCs w:val="30"/>
          <w:shd w:val="clear" w:color="auto" w:fill="FFFFFF"/>
        </w:rPr>
      </w:pPr>
      <w:r w:rsidRPr="00196366">
        <w:rPr>
          <w:rFonts w:ascii="仿宋_GB2312" w:eastAsia="仿宋_GB2312" w:hint="eastAsia"/>
          <w:color w:val="000000" w:themeColor="text1"/>
          <w:sz w:val="30"/>
          <w:szCs w:val="30"/>
          <w:shd w:val="clear" w:color="auto" w:fill="FFFFFF"/>
        </w:rPr>
        <w:t>五、领导干部已办理离退休手续的，原单位的办公用房应及时腾退。</w:t>
      </w:r>
      <w:bookmarkStart w:id="0" w:name="_GoBack"/>
      <w:bookmarkEnd w:id="0"/>
    </w:p>
    <w:p w:rsidR="007C2539" w:rsidRPr="00196366" w:rsidRDefault="007C2539" w:rsidP="00196366">
      <w:pPr>
        <w:spacing w:line="580" w:lineRule="exact"/>
        <w:ind w:firstLineChars="200" w:firstLine="600"/>
        <w:jc w:val="left"/>
        <w:rPr>
          <w:rFonts w:ascii="仿宋_GB2312" w:eastAsia="仿宋_GB2312"/>
          <w:color w:val="000000" w:themeColor="text1"/>
          <w:sz w:val="30"/>
          <w:szCs w:val="30"/>
        </w:rPr>
      </w:pPr>
      <w:r w:rsidRPr="00196366">
        <w:rPr>
          <w:rFonts w:ascii="楷体_GB2312" w:eastAsia="楷体_GB2312" w:hint="eastAsia"/>
          <w:color w:val="000000" w:themeColor="text1"/>
          <w:sz w:val="30"/>
          <w:szCs w:val="30"/>
        </w:rPr>
        <w:t>摘自</w:t>
      </w:r>
      <w:r w:rsidR="009C2F04" w:rsidRPr="00196366">
        <w:rPr>
          <w:rFonts w:ascii="楷体_GB2312" w:eastAsia="楷体_GB2312" w:hint="eastAsia"/>
          <w:color w:val="000000" w:themeColor="text1"/>
          <w:sz w:val="30"/>
          <w:szCs w:val="30"/>
        </w:rPr>
        <w:t>《中共中央办公厅  国务院办公厅关于党政机关停止新建楼堂馆所和清理办公用房清理整改工作的通知》（中办发</w:t>
      </w:r>
      <w:r w:rsidR="00137BAC" w:rsidRPr="00196366">
        <w:rPr>
          <w:rFonts w:ascii="楷体_GB2312" w:eastAsia="楷体_GB2312" w:hint="eastAsia"/>
          <w:color w:val="000000" w:themeColor="text1"/>
          <w:sz w:val="30"/>
          <w:szCs w:val="30"/>
        </w:rPr>
        <w:t>〔2013〕</w:t>
      </w:r>
      <w:r w:rsidR="009C2F04" w:rsidRPr="00196366">
        <w:rPr>
          <w:rFonts w:ascii="楷体_GB2312" w:eastAsia="楷体_GB2312" w:hint="eastAsia"/>
          <w:color w:val="000000" w:themeColor="text1"/>
          <w:sz w:val="30"/>
          <w:szCs w:val="30"/>
        </w:rPr>
        <w:t>17号）</w:t>
      </w:r>
      <w:r w:rsidR="00C70DB8" w:rsidRPr="00196366">
        <w:rPr>
          <w:rFonts w:ascii="楷体_GB2312" w:eastAsia="楷体_GB2312" w:hint="eastAsia"/>
          <w:color w:val="000000" w:themeColor="text1"/>
          <w:sz w:val="30"/>
          <w:szCs w:val="30"/>
        </w:rPr>
        <w:t>、</w:t>
      </w:r>
      <w:r w:rsidR="009C2F04" w:rsidRPr="00196366">
        <w:rPr>
          <w:rFonts w:ascii="楷体_GB2312" w:eastAsia="楷体_GB2312" w:hint="eastAsia"/>
          <w:color w:val="000000" w:themeColor="text1"/>
          <w:sz w:val="30"/>
          <w:szCs w:val="30"/>
        </w:rPr>
        <w:t>《中共中央办公厅国务院办公厅关于进一步做好办公用房清理整改工作的通知》（中办发〔2014〕64号）</w:t>
      </w:r>
      <w:r w:rsidR="00C70DB8" w:rsidRPr="00196366">
        <w:rPr>
          <w:rFonts w:ascii="楷体_GB2312" w:eastAsia="楷体_GB2312" w:hint="eastAsia"/>
          <w:color w:val="000000" w:themeColor="text1"/>
          <w:sz w:val="30"/>
          <w:szCs w:val="30"/>
        </w:rPr>
        <w:t>、</w:t>
      </w:r>
      <w:r w:rsidR="00C15FC4" w:rsidRPr="00196366">
        <w:rPr>
          <w:rFonts w:ascii="楷体_GB2312" w:eastAsia="楷体_GB2312" w:hint="eastAsia"/>
          <w:color w:val="000000" w:themeColor="text1"/>
          <w:sz w:val="30"/>
          <w:szCs w:val="30"/>
        </w:rPr>
        <w:t xml:space="preserve">《教育部办公厅关于进一步做好直属高校办公用房清理整改工作的通知》（教发厅 </w:t>
      </w:r>
      <w:r w:rsidR="00137BAC" w:rsidRPr="00196366">
        <w:rPr>
          <w:rFonts w:ascii="楷体_GB2312" w:eastAsia="楷体_GB2312" w:hint="eastAsia"/>
          <w:color w:val="000000" w:themeColor="text1"/>
          <w:sz w:val="30"/>
          <w:szCs w:val="30"/>
        </w:rPr>
        <w:t>〔2014〕</w:t>
      </w:r>
      <w:r w:rsidR="00C15FC4" w:rsidRPr="00196366">
        <w:rPr>
          <w:rFonts w:ascii="楷体_GB2312" w:eastAsia="楷体_GB2312" w:hint="eastAsia"/>
          <w:color w:val="000000" w:themeColor="text1"/>
          <w:sz w:val="30"/>
          <w:szCs w:val="30"/>
        </w:rPr>
        <w:t>3号）</w:t>
      </w:r>
    </w:p>
    <w:sectPr w:rsidR="007C2539" w:rsidRPr="00196366" w:rsidSect="005C41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41E" w:rsidRDefault="0059741E" w:rsidP="00315B90">
      <w:r>
        <w:separator/>
      </w:r>
    </w:p>
  </w:endnote>
  <w:endnote w:type="continuationSeparator" w:id="0">
    <w:p w:rsidR="0059741E" w:rsidRDefault="0059741E" w:rsidP="0031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41E" w:rsidRDefault="0059741E" w:rsidP="00315B90">
      <w:r>
        <w:separator/>
      </w:r>
    </w:p>
  </w:footnote>
  <w:footnote w:type="continuationSeparator" w:id="0">
    <w:p w:rsidR="0059741E" w:rsidRDefault="0059741E" w:rsidP="00315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53EC"/>
    <w:rsid w:val="000113B5"/>
    <w:rsid w:val="000158F3"/>
    <w:rsid w:val="0003006E"/>
    <w:rsid w:val="00053E16"/>
    <w:rsid w:val="00060D19"/>
    <w:rsid w:val="00062F0C"/>
    <w:rsid w:val="00073C28"/>
    <w:rsid w:val="00095400"/>
    <w:rsid w:val="000B7523"/>
    <w:rsid w:val="000C3275"/>
    <w:rsid w:val="000D0DFA"/>
    <w:rsid w:val="000D631A"/>
    <w:rsid w:val="000F67B5"/>
    <w:rsid w:val="00127A14"/>
    <w:rsid w:val="00137BAC"/>
    <w:rsid w:val="00177C88"/>
    <w:rsid w:val="00180FB2"/>
    <w:rsid w:val="00185542"/>
    <w:rsid w:val="00196366"/>
    <w:rsid w:val="00202B48"/>
    <w:rsid w:val="002048CA"/>
    <w:rsid w:val="002242E0"/>
    <w:rsid w:val="00243780"/>
    <w:rsid w:val="00245295"/>
    <w:rsid w:val="00245803"/>
    <w:rsid w:val="00253281"/>
    <w:rsid w:val="00255F57"/>
    <w:rsid w:val="002953EC"/>
    <w:rsid w:val="002A206D"/>
    <w:rsid w:val="002D1C53"/>
    <w:rsid w:val="002F02FC"/>
    <w:rsid w:val="00315B90"/>
    <w:rsid w:val="00325FF7"/>
    <w:rsid w:val="003371A8"/>
    <w:rsid w:val="00345DA5"/>
    <w:rsid w:val="003536FA"/>
    <w:rsid w:val="00355F9C"/>
    <w:rsid w:val="0037616E"/>
    <w:rsid w:val="003C6656"/>
    <w:rsid w:val="003E52CA"/>
    <w:rsid w:val="003F7527"/>
    <w:rsid w:val="00403D2E"/>
    <w:rsid w:val="00415D9C"/>
    <w:rsid w:val="00436F13"/>
    <w:rsid w:val="00447B19"/>
    <w:rsid w:val="00456816"/>
    <w:rsid w:val="00456F3C"/>
    <w:rsid w:val="004850B5"/>
    <w:rsid w:val="004D427D"/>
    <w:rsid w:val="004E0527"/>
    <w:rsid w:val="004E05EB"/>
    <w:rsid w:val="00502E2A"/>
    <w:rsid w:val="00516121"/>
    <w:rsid w:val="00562931"/>
    <w:rsid w:val="00563A3D"/>
    <w:rsid w:val="00574197"/>
    <w:rsid w:val="0059741E"/>
    <w:rsid w:val="005C4128"/>
    <w:rsid w:val="005D53C8"/>
    <w:rsid w:val="005D64F1"/>
    <w:rsid w:val="006253D2"/>
    <w:rsid w:val="006509B3"/>
    <w:rsid w:val="00655C5F"/>
    <w:rsid w:val="0067797C"/>
    <w:rsid w:val="006C6BD6"/>
    <w:rsid w:val="006E1139"/>
    <w:rsid w:val="007107AF"/>
    <w:rsid w:val="00731627"/>
    <w:rsid w:val="00737FC0"/>
    <w:rsid w:val="00750C1D"/>
    <w:rsid w:val="00786C77"/>
    <w:rsid w:val="007A1A72"/>
    <w:rsid w:val="007C2539"/>
    <w:rsid w:val="007E57BA"/>
    <w:rsid w:val="007F660C"/>
    <w:rsid w:val="0081426B"/>
    <w:rsid w:val="00820530"/>
    <w:rsid w:val="00830AA7"/>
    <w:rsid w:val="008620EE"/>
    <w:rsid w:val="008840AB"/>
    <w:rsid w:val="00886A96"/>
    <w:rsid w:val="008B39BE"/>
    <w:rsid w:val="008B5B80"/>
    <w:rsid w:val="008C40BF"/>
    <w:rsid w:val="009567EF"/>
    <w:rsid w:val="00977892"/>
    <w:rsid w:val="009A1CD4"/>
    <w:rsid w:val="009C2F04"/>
    <w:rsid w:val="009D322B"/>
    <w:rsid w:val="009F20F3"/>
    <w:rsid w:val="00A16582"/>
    <w:rsid w:val="00A2399F"/>
    <w:rsid w:val="00A35391"/>
    <w:rsid w:val="00A4630D"/>
    <w:rsid w:val="00A52F64"/>
    <w:rsid w:val="00AA7C9E"/>
    <w:rsid w:val="00AC3674"/>
    <w:rsid w:val="00B17CF9"/>
    <w:rsid w:val="00B56B14"/>
    <w:rsid w:val="00B670D2"/>
    <w:rsid w:val="00B7013A"/>
    <w:rsid w:val="00B7119D"/>
    <w:rsid w:val="00C15FC4"/>
    <w:rsid w:val="00C25434"/>
    <w:rsid w:val="00C60504"/>
    <w:rsid w:val="00C66BCB"/>
    <w:rsid w:val="00C70DB8"/>
    <w:rsid w:val="00CC2CF0"/>
    <w:rsid w:val="00CC3C31"/>
    <w:rsid w:val="00CC7571"/>
    <w:rsid w:val="00CE5579"/>
    <w:rsid w:val="00D02C50"/>
    <w:rsid w:val="00D81273"/>
    <w:rsid w:val="00D83EBB"/>
    <w:rsid w:val="00D922C8"/>
    <w:rsid w:val="00DA2160"/>
    <w:rsid w:val="00DA6C96"/>
    <w:rsid w:val="00DC191C"/>
    <w:rsid w:val="00DF2241"/>
    <w:rsid w:val="00DF30D3"/>
    <w:rsid w:val="00DF3716"/>
    <w:rsid w:val="00E04D8A"/>
    <w:rsid w:val="00E20CA1"/>
    <w:rsid w:val="00E2411C"/>
    <w:rsid w:val="00E274E0"/>
    <w:rsid w:val="00E27D9C"/>
    <w:rsid w:val="00E8212C"/>
    <w:rsid w:val="00E85BC4"/>
    <w:rsid w:val="00E86A85"/>
    <w:rsid w:val="00EC195D"/>
    <w:rsid w:val="00EC674D"/>
    <w:rsid w:val="00F655A4"/>
    <w:rsid w:val="00F67901"/>
    <w:rsid w:val="00FA64B6"/>
    <w:rsid w:val="00FE116C"/>
    <w:rsid w:val="00FE5BDC"/>
    <w:rsid w:val="00FF39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BCBB96-FAB8-4DD8-8896-03BF831A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28"/>
    <w:pPr>
      <w:widowControl w:val="0"/>
      <w:jc w:val="both"/>
    </w:pPr>
  </w:style>
  <w:style w:type="paragraph" w:styleId="1">
    <w:name w:val="heading 1"/>
    <w:basedOn w:val="a"/>
    <w:next w:val="a"/>
    <w:link w:val="1Char"/>
    <w:uiPriority w:val="9"/>
    <w:qFormat/>
    <w:rsid w:val="007C253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C2539"/>
    <w:rPr>
      <w:b/>
      <w:bCs/>
      <w:kern w:val="44"/>
      <w:sz w:val="44"/>
      <w:szCs w:val="44"/>
    </w:rPr>
  </w:style>
  <w:style w:type="paragraph" w:styleId="a3">
    <w:name w:val="header"/>
    <w:basedOn w:val="a"/>
    <w:link w:val="Char"/>
    <w:uiPriority w:val="99"/>
    <w:unhideWhenUsed/>
    <w:rsid w:val="00315B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5B90"/>
    <w:rPr>
      <w:sz w:val="18"/>
      <w:szCs w:val="18"/>
    </w:rPr>
  </w:style>
  <w:style w:type="paragraph" w:styleId="a4">
    <w:name w:val="footer"/>
    <w:basedOn w:val="a"/>
    <w:link w:val="Char0"/>
    <w:uiPriority w:val="99"/>
    <w:unhideWhenUsed/>
    <w:rsid w:val="00315B90"/>
    <w:pPr>
      <w:tabs>
        <w:tab w:val="center" w:pos="4153"/>
        <w:tab w:val="right" w:pos="8306"/>
      </w:tabs>
      <w:snapToGrid w:val="0"/>
      <w:jc w:val="left"/>
    </w:pPr>
    <w:rPr>
      <w:sz w:val="18"/>
      <w:szCs w:val="18"/>
    </w:rPr>
  </w:style>
  <w:style w:type="character" w:customStyle="1" w:styleId="Char0">
    <w:name w:val="页脚 Char"/>
    <w:basedOn w:val="a0"/>
    <w:link w:val="a4"/>
    <w:uiPriority w:val="99"/>
    <w:rsid w:val="00315B90"/>
    <w:rPr>
      <w:sz w:val="18"/>
      <w:szCs w:val="18"/>
    </w:rPr>
  </w:style>
  <w:style w:type="paragraph" w:styleId="a5">
    <w:name w:val="Balloon Text"/>
    <w:basedOn w:val="a"/>
    <w:link w:val="Char1"/>
    <w:uiPriority w:val="99"/>
    <w:semiHidden/>
    <w:unhideWhenUsed/>
    <w:rsid w:val="00563A3D"/>
    <w:rPr>
      <w:sz w:val="18"/>
      <w:szCs w:val="18"/>
    </w:rPr>
  </w:style>
  <w:style w:type="character" w:customStyle="1" w:styleId="Char1">
    <w:name w:val="批注框文本 Char"/>
    <w:basedOn w:val="a0"/>
    <w:link w:val="a5"/>
    <w:uiPriority w:val="99"/>
    <w:semiHidden/>
    <w:rsid w:val="00563A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9126">
      <w:bodyDiv w:val="1"/>
      <w:marLeft w:val="0"/>
      <w:marRight w:val="0"/>
      <w:marTop w:val="0"/>
      <w:marBottom w:val="0"/>
      <w:divBdr>
        <w:top w:val="none" w:sz="0" w:space="0" w:color="auto"/>
        <w:left w:val="none" w:sz="0" w:space="0" w:color="auto"/>
        <w:bottom w:val="none" w:sz="0" w:space="0" w:color="auto"/>
        <w:right w:val="none" w:sz="0" w:space="0" w:color="auto"/>
      </w:divBdr>
      <w:divsChild>
        <w:div w:id="689331694">
          <w:marLeft w:val="0"/>
          <w:marRight w:val="0"/>
          <w:marTop w:val="0"/>
          <w:marBottom w:val="0"/>
          <w:divBdr>
            <w:top w:val="single" w:sz="12" w:space="0" w:color="FFFFFF"/>
            <w:left w:val="single" w:sz="12" w:space="0" w:color="FFFFFF"/>
            <w:bottom w:val="single" w:sz="12" w:space="0" w:color="FFFFFF"/>
            <w:right w:val="single" w:sz="12" w:space="0" w:color="FFFFFF"/>
          </w:divBdr>
          <w:divsChild>
            <w:div w:id="2076077702">
              <w:marLeft w:val="0"/>
              <w:marRight w:val="0"/>
              <w:marTop w:val="75"/>
              <w:marBottom w:val="0"/>
              <w:divBdr>
                <w:top w:val="none" w:sz="0" w:space="0" w:color="auto"/>
                <w:left w:val="none" w:sz="0" w:space="0" w:color="auto"/>
                <w:bottom w:val="none" w:sz="0" w:space="0" w:color="auto"/>
                <w:right w:val="none" w:sz="0" w:space="0" w:color="auto"/>
              </w:divBdr>
              <w:divsChild>
                <w:div w:id="215553269">
                  <w:marLeft w:val="0"/>
                  <w:marRight w:val="0"/>
                  <w:marTop w:val="30"/>
                  <w:marBottom w:val="0"/>
                  <w:divBdr>
                    <w:top w:val="single" w:sz="6" w:space="15" w:color="BBC8D0"/>
                    <w:left w:val="single" w:sz="6" w:space="15" w:color="BBC8D0"/>
                    <w:bottom w:val="single" w:sz="6" w:space="15" w:color="BBC8D0"/>
                    <w:right w:val="single" w:sz="6" w:space="15" w:color="BBC8D0"/>
                  </w:divBdr>
                  <w:divsChild>
                    <w:div w:id="14893285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200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59</Words>
  <Characters>338</Characters>
  <Application>Microsoft Office Word</Application>
  <DocSecurity>0</DocSecurity>
  <Lines>2</Lines>
  <Paragraphs>1</Paragraphs>
  <ScaleCrop>false</ScaleCrop>
  <Company> </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张荣国</dc:creator>
  <cp:keywords/>
  <dc:description/>
  <cp:lastModifiedBy>张荣国</cp:lastModifiedBy>
  <cp:revision>16</cp:revision>
  <dcterms:created xsi:type="dcterms:W3CDTF">2017-05-16T07:18:00Z</dcterms:created>
  <dcterms:modified xsi:type="dcterms:W3CDTF">2019-10-30T01:03:00Z</dcterms:modified>
</cp:coreProperties>
</file>