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28" w:rsidRPr="008A78ED" w:rsidRDefault="00315B90" w:rsidP="007C2539">
      <w:pPr>
        <w:spacing w:line="500" w:lineRule="exact"/>
        <w:jc w:val="center"/>
        <w:rPr>
          <w:rFonts w:ascii="方正小标宋简体" w:eastAsia="方正小标宋简体"/>
          <w:b/>
          <w:spacing w:val="20"/>
          <w:sz w:val="44"/>
          <w:szCs w:val="44"/>
        </w:rPr>
      </w:pPr>
      <w:r w:rsidRPr="008A78ED">
        <w:rPr>
          <w:rFonts w:ascii="方正小标宋简体" w:eastAsia="方正小标宋简体" w:hint="eastAsia"/>
          <w:b/>
          <w:spacing w:val="20"/>
          <w:sz w:val="44"/>
          <w:szCs w:val="44"/>
        </w:rPr>
        <w:t>公务出差</w:t>
      </w:r>
    </w:p>
    <w:p w:rsidR="007C2539" w:rsidRPr="00E81A6B" w:rsidRDefault="007C2539" w:rsidP="007C2539">
      <w:pPr>
        <w:spacing w:line="500" w:lineRule="exact"/>
        <w:jc w:val="center"/>
        <w:rPr>
          <w:rFonts w:ascii="方正小标宋简体" w:eastAsia="方正小标宋简体"/>
          <w:sz w:val="30"/>
          <w:szCs w:val="30"/>
        </w:rPr>
      </w:pPr>
    </w:p>
    <w:p w:rsidR="007C2539" w:rsidRPr="008A78ED" w:rsidRDefault="007C2539" w:rsidP="008A78ED">
      <w:pPr>
        <w:spacing w:line="600" w:lineRule="exact"/>
        <w:ind w:firstLineChars="200" w:firstLine="600"/>
        <w:jc w:val="left"/>
        <w:rPr>
          <w:rFonts w:ascii="仿宋_GB2312" w:eastAsia="仿宋_GB2312" w:hAnsi="宋体" w:cs="宋体"/>
          <w:color w:val="000000" w:themeColor="text1"/>
          <w:kern w:val="0"/>
          <w:sz w:val="30"/>
          <w:szCs w:val="30"/>
        </w:rPr>
      </w:pPr>
      <w:r w:rsidRPr="008A78ED">
        <w:rPr>
          <w:rFonts w:ascii="仿宋_GB2312" w:eastAsia="仿宋_GB2312" w:hint="eastAsia"/>
          <w:sz w:val="30"/>
          <w:szCs w:val="30"/>
        </w:rPr>
        <w:t>一、</w:t>
      </w:r>
      <w:r w:rsidR="00315B90" w:rsidRPr="008A78ED">
        <w:rPr>
          <w:rFonts w:ascii="仿宋_GB2312" w:eastAsia="仿宋_GB2312" w:hAnsi="宋体" w:cs="宋体" w:hint="eastAsia"/>
          <w:color w:val="000000" w:themeColor="text1"/>
          <w:kern w:val="0"/>
          <w:sz w:val="30"/>
          <w:szCs w:val="30"/>
        </w:rPr>
        <w:t>出差人员是差旅费的直接责任人，对差旅费使用的合规性、合理性、真实性和相关性承担直接责任。</w:t>
      </w:r>
      <w:r w:rsidR="00315B90" w:rsidRPr="008A78ED">
        <w:rPr>
          <w:rFonts w:ascii="仿宋_GB2312" w:eastAsia="仿宋_GB2312" w:hAnsi="仿宋" w:cs="仿宋" w:hint="eastAsia"/>
          <w:sz w:val="30"/>
          <w:szCs w:val="30"/>
        </w:rPr>
        <w:t>各二级单位对本单位出差人员和使用本单位经费的出差人员使用差旅费承担审批和监管责任</w:t>
      </w:r>
      <w:r w:rsidRPr="008A78ED">
        <w:rPr>
          <w:rFonts w:ascii="仿宋_GB2312" w:eastAsia="仿宋_GB2312" w:hAnsi="宋体" w:cs="宋体" w:hint="eastAsia"/>
          <w:color w:val="000000" w:themeColor="text1"/>
          <w:kern w:val="0"/>
          <w:sz w:val="30"/>
          <w:szCs w:val="30"/>
        </w:rPr>
        <w:t>。</w:t>
      </w:r>
    </w:p>
    <w:p w:rsidR="00315B90" w:rsidRPr="008A78ED" w:rsidRDefault="007C2539"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二、</w:t>
      </w:r>
      <w:r w:rsidR="00315B90" w:rsidRPr="008A78ED">
        <w:rPr>
          <w:rFonts w:ascii="仿宋_GB2312" w:eastAsia="仿宋_GB2312" w:hint="eastAsia"/>
          <w:sz w:val="30"/>
          <w:szCs w:val="30"/>
        </w:rPr>
        <w:t>出差人员乘坐城市间交通工具应不超过以下标准：</w:t>
      </w:r>
    </w:p>
    <w:tbl>
      <w:tblPr>
        <w:tblpPr w:leftFromText="180" w:rightFromText="180" w:vertAnchor="text" w:horzAnchor="margin" w:tblpXSpec="center" w:tblpY="12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701"/>
        <w:gridCol w:w="1417"/>
        <w:gridCol w:w="1134"/>
        <w:gridCol w:w="1559"/>
      </w:tblGrid>
      <w:tr w:rsidR="00315B90" w:rsidRPr="003E52CA" w:rsidTr="00B1167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标准</w:t>
            </w:r>
          </w:p>
        </w:tc>
        <w:tc>
          <w:tcPr>
            <w:tcW w:w="1843"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对应人员</w:t>
            </w:r>
          </w:p>
        </w:tc>
        <w:tc>
          <w:tcPr>
            <w:tcW w:w="1701"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火车（含高铁、动车、全列软席列车）</w:t>
            </w:r>
          </w:p>
        </w:tc>
        <w:tc>
          <w:tcPr>
            <w:tcW w:w="1417"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轮船（不包括旅游船）</w:t>
            </w:r>
          </w:p>
        </w:tc>
        <w:tc>
          <w:tcPr>
            <w:tcW w:w="1134"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飞 机</w:t>
            </w:r>
          </w:p>
        </w:tc>
        <w:tc>
          <w:tcPr>
            <w:tcW w:w="15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b/>
                <w:sz w:val="24"/>
                <w:szCs w:val="24"/>
                <w:shd w:val="clear" w:color="auto" w:fill="FFFFFF"/>
              </w:rPr>
            </w:pPr>
            <w:r w:rsidRPr="008A78ED">
              <w:rPr>
                <w:rFonts w:ascii="仿宋_GB2312" w:eastAsia="仿宋_GB2312" w:hAnsi="仿宋" w:hint="eastAsia"/>
                <w:b/>
                <w:sz w:val="24"/>
                <w:szCs w:val="24"/>
                <w:shd w:val="clear" w:color="auto" w:fill="FFFFFF"/>
              </w:rPr>
              <w:t>其他交通工具（不包括出租小汽车）</w:t>
            </w:r>
          </w:p>
        </w:tc>
      </w:tr>
      <w:tr w:rsidR="00315B90" w:rsidRPr="003E52CA" w:rsidTr="00B1167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一类</w:t>
            </w:r>
          </w:p>
        </w:tc>
        <w:tc>
          <w:tcPr>
            <w:tcW w:w="1843"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1.院士和相当于院士的人员；</w:t>
            </w:r>
          </w:p>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2.二级及以上管理岗位人员。</w:t>
            </w:r>
          </w:p>
        </w:tc>
        <w:tc>
          <w:tcPr>
            <w:tcW w:w="1701"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火车软卧、一等软座、高铁/动车商务座</w:t>
            </w:r>
          </w:p>
        </w:tc>
        <w:tc>
          <w:tcPr>
            <w:tcW w:w="1417"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一等舱</w:t>
            </w:r>
          </w:p>
        </w:tc>
        <w:tc>
          <w:tcPr>
            <w:tcW w:w="1134"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头等舱</w:t>
            </w:r>
          </w:p>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公务舱</w:t>
            </w:r>
          </w:p>
        </w:tc>
        <w:tc>
          <w:tcPr>
            <w:tcW w:w="15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凭据报销</w:t>
            </w:r>
          </w:p>
        </w:tc>
      </w:tr>
      <w:tr w:rsidR="00315B90" w:rsidRPr="003E52CA" w:rsidTr="00B1167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二类</w:t>
            </w:r>
          </w:p>
        </w:tc>
        <w:tc>
          <w:tcPr>
            <w:tcW w:w="1843"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1.高级专业技术职务人员；</w:t>
            </w:r>
          </w:p>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2.四级及以上管理岗位人员。</w:t>
            </w:r>
          </w:p>
        </w:tc>
        <w:tc>
          <w:tcPr>
            <w:tcW w:w="1701"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火车软卧、一等软座、高铁/动车一等座</w:t>
            </w:r>
          </w:p>
        </w:tc>
        <w:tc>
          <w:tcPr>
            <w:tcW w:w="1417"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二等舱</w:t>
            </w:r>
          </w:p>
        </w:tc>
        <w:tc>
          <w:tcPr>
            <w:tcW w:w="1134"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经济舱</w:t>
            </w:r>
          </w:p>
        </w:tc>
        <w:tc>
          <w:tcPr>
            <w:tcW w:w="15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凭据报销</w:t>
            </w:r>
          </w:p>
        </w:tc>
      </w:tr>
      <w:tr w:rsidR="00315B90" w:rsidRPr="003E52CA" w:rsidTr="00B1167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三类</w:t>
            </w:r>
          </w:p>
        </w:tc>
        <w:tc>
          <w:tcPr>
            <w:tcW w:w="1843"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其余人员</w:t>
            </w:r>
          </w:p>
        </w:tc>
        <w:tc>
          <w:tcPr>
            <w:tcW w:w="1701"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left"/>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火车硬座、硬卧、二等软座、高铁/动车二等座</w:t>
            </w:r>
          </w:p>
        </w:tc>
        <w:tc>
          <w:tcPr>
            <w:tcW w:w="1417"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三等舱</w:t>
            </w:r>
          </w:p>
        </w:tc>
        <w:tc>
          <w:tcPr>
            <w:tcW w:w="1134"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经济舱</w:t>
            </w:r>
          </w:p>
        </w:tc>
        <w:tc>
          <w:tcPr>
            <w:tcW w:w="1559" w:type="dxa"/>
            <w:tcBorders>
              <w:top w:val="single" w:sz="4" w:space="0" w:color="auto"/>
              <w:left w:val="single" w:sz="4" w:space="0" w:color="auto"/>
              <w:bottom w:val="single" w:sz="4" w:space="0" w:color="auto"/>
              <w:right w:val="single" w:sz="4" w:space="0" w:color="auto"/>
            </w:tcBorders>
            <w:vAlign w:val="center"/>
          </w:tcPr>
          <w:p w:rsidR="00315B90" w:rsidRPr="008A78ED" w:rsidRDefault="00315B90" w:rsidP="00B11673">
            <w:pPr>
              <w:autoSpaceDN w:val="0"/>
              <w:snapToGrid w:val="0"/>
              <w:jc w:val="center"/>
              <w:rPr>
                <w:rFonts w:ascii="仿宋_GB2312" w:eastAsia="仿宋_GB2312" w:hAnsi="仿宋"/>
                <w:sz w:val="24"/>
                <w:szCs w:val="24"/>
                <w:shd w:val="clear" w:color="auto" w:fill="FFFFFF"/>
              </w:rPr>
            </w:pPr>
            <w:r w:rsidRPr="008A78ED">
              <w:rPr>
                <w:rFonts w:ascii="仿宋_GB2312" w:eastAsia="仿宋_GB2312" w:hAnsi="仿宋" w:hint="eastAsia"/>
                <w:sz w:val="24"/>
                <w:szCs w:val="24"/>
                <w:shd w:val="clear" w:color="auto" w:fill="FFFFFF"/>
              </w:rPr>
              <w:t>凭据报销</w:t>
            </w:r>
          </w:p>
        </w:tc>
      </w:tr>
    </w:tbl>
    <w:p w:rsidR="007C2539" w:rsidRPr="008A78ED" w:rsidRDefault="007C2539"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三、</w:t>
      </w:r>
      <w:r w:rsidR="000C3275" w:rsidRPr="008A78ED">
        <w:rPr>
          <w:rFonts w:ascii="仿宋_GB2312" w:eastAsia="仿宋_GB2312" w:hint="eastAsia"/>
          <w:sz w:val="30"/>
          <w:szCs w:val="30"/>
        </w:rPr>
        <w:t>未按规定等级乘坐交通工具的，超支部分由个人自理。对于乘坐高于规定等级的交通工具所发生的费用，按照实际购买票价和自身对应等级全价票“孰低”的原则报销</w:t>
      </w:r>
      <w:r w:rsidRPr="008A78ED">
        <w:rPr>
          <w:rFonts w:ascii="仿宋_GB2312" w:eastAsia="仿宋_GB2312" w:hint="eastAsia"/>
          <w:sz w:val="30"/>
          <w:szCs w:val="30"/>
        </w:rPr>
        <w:t>。</w:t>
      </w:r>
    </w:p>
    <w:p w:rsidR="002953EC" w:rsidRPr="008A78ED" w:rsidRDefault="007C2539"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四、</w:t>
      </w:r>
      <w:r w:rsidR="000C3275" w:rsidRPr="008A78ED">
        <w:rPr>
          <w:rFonts w:ascii="仿宋_GB2312" w:eastAsia="仿宋_GB2312" w:hint="eastAsia"/>
          <w:sz w:val="30"/>
          <w:szCs w:val="30"/>
        </w:rPr>
        <w:t>第三类差旅费标准原则上不包含乘坐火车软卧。但在晚8时至次日晨8时期间乘车时间6小时以上（夕发朝至列车）的，可在不超过相应城市间飞机经济舱全价票的范围内，据实报销软卧车票</w:t>
      </w:r>
      <w:r w:rsidRPr="008A78ED">
        <w:rPr>
          <w:rFonts w:ascii="仿宋_GB2312" w:eastAsia="仿宋_GB2312" w:hint="eastAsia"/>
          <w:sz w:val="30"/>
          <w:szCs w:val="30"/>
        </w:rPr>
        <w:t>。</w:t>
      </w:r>
    </w:p>
    <w:p w:rsidR="000C3275" w:rsidRPr="008A78ED" w:rsidRDefault="007C2539"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五、</w:t>
      </w:r>
      <w:r w:rsidR="003E52CA" w:rsidRPr="008A78ED">
        <w:rPr>
          <w:rFonts w:ascii="仿宋_GB2312" w:eastAsia="仿宋_GB2312" w:hint="eastAsia"/>
          <w:sz w:val="30"/>
          <w:szCs w:val="30"/>
        </w:rPr>
        <w:t>住宿费发票或清单应注明住宿天数、人数（或房间数）、</w:t>
      </w:r>
      <w:r w:rsidR="003E52CA" w:rsidRPr="008A78ED">
        <w:rPr>
          <w:rFonts w:ascii="仿宋_GB2312" w:eastAsia="仿宋_GB2312" w:hint="eastAsia"/>
          <w:sz w:val="30"/>
          <w:szCs w:val="30"/>
        </w:rPr>
        <w:lastRenderedPageBreak/>
        <w:t>单价等基本信息，以便判断住宿费是否符合标准。</w:t>
      </w:r>
      <w:r w:rsidR="000C3275" w:rsidRPr="008A78ED">
        <w:rPr>
          <w:rFonts w:ascii="仿宋_GB2312" w:eastAsia="仿宋_GB2312" w:hint="eastAsia"/>
          <w:sz w:val="30"/>
          <w:szCs w:val="30"/>
        </w:rPr>
        <w:t>住宿费限额标准：</w:t>
      </w:r>
    </w:p>
    <w:tbl>
      <w:tblPr>
        <w:tblW w:w="51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965"/>
        <w:gridCol w:w="752"/>
        <w:gridCol w:w="65"/>
        <w:gridCol w:w="645"/>
        <w:gridCol w:w="179"/>
        <w:gridCol w:w="689"/>
        <w:gridCol w:w="1238"/>
        <w:gridCol w:w="1238"/>
        <w:gridCol w:w="765"/>
        <w:gridCol w:w="708"/>
        <w:gridCol w:w="853"/>
      </w:tblGrid>
      <w:tr w:rsidR="00044A7A" w:rsidRPr="0015449C" w:rsidTr="006E02E3">
        <w:trPr>
          <w:trHeight w:val="567"/>
        </w:trPr>
        <w:tc>
          <w:tcPr>
            <w:tcW w:w="394"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序号</w:t>
            </w:r>
          </w:p>
        </w:tc>
        <w:tc>
          <w:tcPr>
            <w:tcW w:w="549"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地区</w:t>
            </w:r>
            <w:r w:rsidRPr="0015449C">
              <w:rPr>
                <w:rFonts w:ascii="仿宋_GB2312" w:eastAsia="仿宋_GB2312" w:hAnsi="仿宋" w:cs="宋体" w:hint="eastAsia"/>
                <w:b/>
                <w:bCs/>
                <w:color w:val="000000"/>
                <w:kern w:val="0"/>
                <w:sz w:val="24"/>
                <w:szCs w:val="24"/>
              </w:rPr>
              <w:br/>
              <w:t>(城市)</w:t>
            </w:r>
          </w:p>
        </w:tc>
        <w:tc>
          <w:tcPr>
            <w:tcW w:w="1325" w:type="pct"/>
            <w:gridSpan w:val="5"/>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住宿费标准</w:t>
            </w:r>
          </w:p>
        </w:tc>
        <w:tc>
          <w:tcPr>
            <w:tcW w:w="704"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旺季地区</w:t>
            </w:r>
          </w:p>
        </w:tc>
        <w:tc>
          <w:tcPr>
            <w:tcW w:w="2027" w:type="pct"/>
            <w:gridSpan w:val="4"/>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旺季浮动标准</w:t>
            </w:r>
          </w:p>
        </w:tc>
      </w:tr>
      <w:tr w:rsidR="0015449C" w:rsidRPr="0015449C" w:rsidTr="006E02E3">
        <w:trPr>
          <w:trHeight w:val="567"/>
        </w:trPr>
        <w:tc>
          <w:tcPr>
            <w:tcW w:w="394"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549"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1325" w:type="pct"/>
            <w:gridSpan w:val="5"/>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704"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704"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旺季期间</w:t>
            </w:r>
          </w:p>
        </w:tc>
        <w:tc>
          <w:tcPr>
            <w:tcW w:w="1323" w:type="pct"/>
            <w:gridSpan w:val="3"/>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旺季上浮价</w:t>
            </w:r>
          </w:p>
        </w:tc>
      </w:tr>
      <w:tr w:rsidR="0015449C" w:rsidRPr="0015449C" w:rsidTr="006E02E3">
        <w:trPr>
          <w:trHeight w:val="567"/>
        </w:trPr>
        <w:tc>
          <w:tcPr>
            <w:tcW w:w="394"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549"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428"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一类</w:t>
            </w:r>
          </w:p>
        </w:tc>
        <w:tc>
          <w:tcPr>
            <w:tcW w:w="404"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二类</w:t>
            </w:r>
          </w:p>
        </w:tc>
        <w:tc>
          <w:tcPr>
            <w:tcW w:w="494"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其余人员</w:t>
            </w:r>
          </w:p>
        </w:tc>
        <w:tc>
          <w:tcPr>
            <w:tcW w:w="704"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704"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一类</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二类</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kern w:val="0"/>
                <w:sz w:val="24"/>
                <w:szCs w:val="24"/>
              </w:rPr>
            </w:pPr>
            <w:r w:rsidRPr="0015449C">
              <w:rPr>
                <w:rFonts w:ascii="仿宋_GB2312" w:eastAsia="仿宋_GB2312" w:hAnsi="仿宋" w:cs="宋体" w:hint="eastAsia"/>
                <w:b/>
                <w:bCs/>
                <w:kern w:val="0"/>
                <w:sz w:val="24"/>
                <w:szCs w:val="24"/>
              </w:rPr>
              <w:t>其余人员</w:t>
            </w:r>
          </w:p>
        </w:tc>
      </w:tr>
      <w:tr w:rsidR="0015449C" w:rsidRPr="0015449C" w:rsidTr="006E02E3">
        <w:trPr>
          <w:trHeight w:val="567"/>
        </w:trPr>
        <w:tc>
          <w:tcPr>
            <w:tcW w:w="394"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w:t>
            </w:r>
          </w:p>
        </w:tc>
        <w:tc>
          <w:tcPr>
            <w:tcW w:w="549" w:type="pct"/>
            <w:vMerge w:val="restar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北京</w:t>
            </w:r>
          </w:p>
        </w:tc>
        <w:tc>
          <w:tcPr>
            <w:tcW w:w="428"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1100</w:t>
            </w:r>
          </w:p>
        </w:tc>
        <w:tc>
          <w:tcPr>
            <w:tcW w:w="404" w:type="pct"/>
            <w:gridSpan w:val="2"/>
            <w:shd w:val="clear" w:color="000000" w:fill="FFFFFF"/>
            <w:vAlign w:val="center"/>
            <w:hideMark/>
          </w:tcPr>
          <w:p w:rsidR="008A78ED"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/650</w:t>
            </w:r>
          </w:p>
        </w:tc>
        <w:tc>
          <w:tcPr>
            <w:tcW w:w="494"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795"/>
        </w:trPr>
        <w:tc>
          <w:tcPr>
            <w:tcW w:w="394" w:type="pct"/>
            <w:vMerge/>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549" w:type="pct"/>
            <w:vMerge/>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p>
        </w:tc>
        <w:tc>
          <w:tcPr>
            <w:tcW w:w="1325" w:type="pct"/>
            <w:gridSpan w:val="5"/>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其中二类人员使用非行政性经费可按800元限额执行</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上海</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1100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600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1395"/>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海南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1000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600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400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海口市、文昌市、澄迈县、琼海市、万宁市、陵水县、保亭县、三亚市</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10-4月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720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广东</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550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浙江</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400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福建</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400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江苏</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490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380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河南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380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洛阳市</w:t>
            </w:r>
          </w:p>
        </w:tc>
        <w:tc>
          <w:tcPr>
            <w:tcW w:w="704" w:type="pct"/>
            <w:shd w:val="clear" w:color="000000" w:fill="FFFFFF"/>
            <w:noWrap/>
            <w:vAlign w:val="center"/>
            <w:hideMark/>
          </w:tcPr>
          <w:p w:rsidR="0015449C"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4-5月</w:t>
            </w:r>
          </w:p>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上旬</w:t>
            </w: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720</w:t>
            </w: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云南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380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10</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四川</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370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11</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西藏</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全部地区</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750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530</w:t>
            </w:r>
          </w:p>
        </w:tc>
      </w:tr>
      <w:tr w:rsidR="0015449C" w:rsidRPr="0015449C" w:rsidTr="006E02E3">
        <w:trPr>
          <w:trHeight w:val="140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lastRenderedPageBreak/>
              <w:t>12</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青海</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500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西宁市、玉树州、海北州、黄南州、海东市、海南州、海西州</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750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530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13</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辽宁</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490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大连</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960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590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420</w:t>
            </w:r>
          </w:p>
        </w:tc>
      </w:tr>
      <w:tr w:rsidR="0015449C" w:rsidRPr="0015449C" w:rsidTr="006E02E3">
        <w:trPr>
          <w:trHeight w:val="840"/>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14</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山东</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490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380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青岛市、烟台市、威海市、日照市</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960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590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15</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天津</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380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16</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山西</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17</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新疆</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18</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河北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张家口市、秦皇岛、承德市</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7-9月、11-3月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680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580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19</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内蒙古</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460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海拉尔市、满洲里市、阿尔山市、二连浩特市、额济纳旗</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7-10月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1200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690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20</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吉林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吉林市、延边州、长白山管理区</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960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540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420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21</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黑龙江</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哈尔滨市、牡丹江市、伊春市、大兴安岭地区、黑河</w:t>
            </w:r>
            <w:r w:rsidRPr="0015449C">
              <w:rPr>
                <w:rFonts w:ascii="仿宋_GB2312" w:eastAsia="仿宋_GB2312" w:hAnsi="仿宋" w:cs="宋体" w:hint="eastAsia"/>
                <w:color w:val="000000"/>
                <w:kern w:val="0"/>
                <w:sz w:val="24"/>
                <w:szCs w:val="24"/>
              </w:rPr>
              <w:lastRenderedPageBreak/>
              <w:t>市、佳木斯市</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lastRenderedPageBreak/>
              <w:t>6-9月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960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540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420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22</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重庆</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370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23</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湖北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480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24</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江西</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25</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广西</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桂林市、北海市</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1-2月、</w:t>
            </w:r>
          </w:p>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7-9月</w:t>
            </w: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1040</w:t>
            </w: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610</w:t>
            </w: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430</w:t>
            </w: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26</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贵州</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370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27</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甘肃</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28</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宁夏</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470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29</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安徽</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460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30</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陕西</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460</w:t>
            </w:r>
          </w:p>
        </w:tc>
        <w:tc>
          <w:tcPr>
            <w:tcW w:w="392"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r w:rsidR="0015449C" w:rsidRPr="0015449C" w:rsidTr="006E02E3">
        <w:trPr>
          <w:trHeight w:val="567"/>
        </w:trPr>
        <w:tc>
          <w:tcPr>
            <w:tcW w:w="394"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31</w:t>
            </w:r>
          </w:p>
        </w:tc>
        <w:tc>
          <w:tcPr>
            <w:tcW w:w="549" w:type="pct"/>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b/>
                <w:bCs/>
                <w:color w:val="000000"/>
                <w:kern w:val="0"/>
                <w:sz w:val="24"/>
                <w:szCs w:val="24"/>
              </w:rPr>
            </w:pPr>
            <w:r w:rsidRPr="0015449C">
              <w:rPr>
                <w:rFonts w:ascii="仿宋_GB2312" w:eastAsia="仿宋_GB2312" w:hAnsi="仿宋" w:cs="宋体" w:hint="eastAsia"/>
                <w:b/>
                <w:bCs/>
                <w:color w:val="000000"/>
                <w:kern w:val="0"/>
                <w:sz w:val="24"/>
                <w:szCs w:val="24"/>
              </w:rPr>
              <w:t>湖南</w:t>
            </w:r>
          </w:p>
        </w:tc>
        <w:tc>
          <w:tcPr>
            <w:tcW w:w="465"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800</w:t>
            </w:r>
          </w:p>
        </w:tc>
        <w:tc>
          <w:tcPr>
            <w:tcW w:w="469" w:type="pct"/>
            <w:gridSpan w:val="2"/>
            <w:shd w:val="clear" w:color="000000" w:fill="FFFFFF"/>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450</w:t>
            </w:r>
          </w:p>
        </w:tc>
        <w:tc>
          <w:tcPr>
            <w:tcW w:w="392"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350</w:t>
            </w: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704"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3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03"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c>
          <w:tcPr>
            <w:tcW w:w="485" w:type="pct"/>
            <w:shd w:val="clear" w:color="000000" w:fill="FFFFFF"/>
            <w:noWrap/>
            <w:vAlign w:val="center"/>
            <w:hideMark/>
          </w:tcPr>
          <w:p w:rsidR="008620EE" w:rsidRPr="0015449C" w:rsidRDefault="008620EE" w:rsidP="000F1E1F">
            <w:pPr>
              <w:widowControl/>
              <w:spacing w:line="360" w:lineRule="exact"/>
              <w:jc w:val="center"/>
              <w:rPr>
                <w:rFonts w:ascii="仿宋_GB2312" w:eastAsia="仿宋_GB2312" w:hAnsi="仿宋" w:cs="宋体"/>
                <w:color w:val="000000"/>
                <w:kern w:val="0"/>
                <w:sz w:val="24"/>
                <w:szCs w:val="24"/>
              </w:rPr>
            </w:pPr>
          </w:p>
        </w:tc>
      </w:tr>
    </w:tbl>
    <w:p w:rsidR="008620EE" w:rsidRPr="0015449C" w:rsidRDefault="008620EE" w:rsidP="0015449C">
      <w:pPr>
        <w:tabs>
          <w:tab w:val="left" w:pos="2268"/>
        </w:tabs>
        <w:adjustRightInd w:val="0"/>
        <w:snapToGrid w:val="0"/>
        <w:spacing w:line="600" w:lineRule="exact"/>
        <w:ind w:firstLineChars="200" w:firstLine="480"/>
        <w:rPr>
          <w:rFonts w:ascii="仿宋_GB2312" w:eastAsia="仿宋_GB2312" w:hAnsi="仿宋" w:cs="宋体"/>
          <w:color w:val="000000"/>
          <w:kern w:val="0"/>
          <w:sz w:val="24"/>
          <w:szCs w:val="24"/>
        </w:rPr>
      </w:pPr>
      <w:r w:rsidRPr="0015449C">
        <w:rPr>
          <w:rFonts w:ascii="仿宋_GB2312" w:eastAsia="仿宋_GB2312" w:hAnsi="仿宋" w:cs="宋体" w:hint="eastAsia"/>
          <w:color w:val="000000"/>
          <w:kern w:val="0"/>
          <w:sz w:val="24"/>
          <w:szCs w:val="24"/>
        </w:rPr>
        <w:t>注：一类差旅标准对应人员包括：1.院士和相当于院士的人员；2.二级及以上管理岗位人员。二类差旅标准对应人员包括：1.高级专业技术职务人员；2.四级及以上管理岗位人员。三类差旅标准对应人员指其余人员。</w:t>
      </w:r>
    </w:p>
    <w:p w:rsidR="003E52CA" w:rsidRPr="008A78ED" w:rsidRDefault="003E52CA"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六、伙食补助费包干使用，按自然（日历）天数包干发放。已由校外单位负担伙食费用的，不得在学校重复领取伙食补助费。补助费包干标准：西藏、青海、新疆为每人每天120元，其他地方为每人每天100元。</w:t>
      </w:r>
    </w:p>
    <w:p w:rsidR="00AA7C9E" w:rsidRPr="008A78ED" w:rsidRDefault="003E52CA"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七、市内交通费按出差自然(日历)天数计算，市内交通费包干标准：每人每天80元，也可选择凭票实报实销。</w:t>
      </w:r>
    </w:p>
    <w:p w:rsidR="003C6656" w:rsidRPr="008A78ED" w:rsidRDefault="003C6656"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八、租赁车辆时，必须通过正规的汽车租赁公司并签订租赁合同（合同应包含必要的保险内容），报销时提供租车合同及发票。因在野外考察（须购买相应人身安全险）等特殊情况，只能</w:t>
      </w:r>
      <w:r w:rsidRPr="008A78ED">
        <w:rPr>
          <w:rFonts w:ascii="仿宋_GB2312" w:eastAsia="仿宋_GB2312" w:hint="eastAsia"/>
          <w:sz w:val="30"/>
          <w:szCs w:val="30"/>
        </w:rPr>
        <w:lastRenderedPageBreak/>
        <w:t>向当地个人租赁车辆的，出差人在确保真实性的前提下，经所在二级单位审核，凭收款人签字领款的收条（含收款人姓名及身份证号、联系电话、收款金额、收款人签字）报销租赁费。</w:t>
      </w:r>
    </w:p>
    <w:p w:rsidR="00AA7C9E" w:rsidRPr="008A78ED" w:rsidRDefault="00E27D9C" w:rsidP="008A78ED">
      <w:pPr>
        <w:spacing w:line="600" w:lineRule="exact"/>
        <w:ind w:firstLineChars="200" w:firstLine="600"/>
        <w:jc w:val="left"/>
        <w:rPr>
          <w:rFonts w:ascii="仿宋_GB2312" w:eastAsia="仿宋_GB2312"/>
          <w:sz w:val="30"/>
          <w:szCs w:val="30"/>
        </w:rPr>
      </w:pPr>
      <w:r w:rsidRPr="008A78ED">
        <w:rPr>
          <w:rFonts w:ascii="仿宋_GB2312" w:eastAsia="仿宋_GB2312" w:hint="eastAsia"/>
          <w:sz w:val="30"/>
          <w:szCs w:val="30"/>
        </w:rPr>
        <w:t>九</w:t>
      </w:r>
      <w:r w:rsidR="00AA7C9E" w:rsidRPr="008A78ED">
        <w:rPr>
          <w:rFonts w:ascii="仿宋_GB2312" w:eastAsia="仿宋_GB2312" w:hint="eastAsia"/>
          <w:sz w:val="30"/>
          <w:szCs w:val="30"/>
        </w:rPr>
        <w:t>、出差人员出差期间，经所在二级单位同意就近回家省亲办事的，其绕道交通费，扣除出差直线单程交通费，多开支的部分由个人自理。回程票款按不高于从出差目的地返回单位的火车票（或船票）价予以报销。绕道和在省亲办事期间不予报销住宿费、伙食补助费和市内交通费。</w:t>
      </w:r>
    </w:p>
    <w:p w:rsidR="008620EE" w:rsidRPr="008A78ED" w:rsidRDefault="00E27D9C" w:rsidP="008A78ED">
      <w:pPr>
        <w:spacing w:line="600" w:lineRule="exact"/>
        <w:ind w:firstLineChars="200" w:firstLine="600"/>
        <w:jc w:val="left"/>
        <w:rPr>
          <w:rFonts w:ascii="仿宋_GB2312" w:eastAsia="仿宋_GB2312" w:hAnsi="仿宋" w:cs="楷体_GB2312"/>
          <w:sz w:val="30"/>
          <w:szCs w:val="30"/>
        </w:rPr>
      </w:pPr>
      <w:r w:rsidRPr="008A78ED">
        <w:rPr>
          <w:rFonts w:ascii="仿宋_GB2312" w:eastAsia="仿宋_GB2312" w:hAnsi="仿宋" w:cs="楷体_GB2312" w:hint="eastAsia"/>
          <w:sz w:val="30"/>
          <w:szCs w:val="30"/>
        </w:rPr>
        <w:t>十</w:t>
      </w:r>
      <w:r w:rsidR="00AA7C9E" w:rsidRPr="008A78ED">
        <w:rPr>
          <w:rFonts w:ascii="仿宋_GB2312" w:eastAsia="仿宋_GB2312" w:hAnsi="仿宋" w:cs="楷体_GB2312" w:hint="eastAsia"/>
          <w:sz w:val="30"/>
          <w:szCs w:val="30"/>
        </w:rPr>
        <w:t>、差旅费报销时应当提供出差审批单、差旅费报销单、机票、车票、住宿费发票等凭证。无出差事项关联的外地业务费发票一律不予报销。</w:t>
      </w:r>
    </w:p>
    <w:p w:rsidR="00A87771" w:rsidRPr="008A78ED" w:rsidRDefault="00A87771" w:rsidP="008A78ED">
      <w:pPr>
        <w:spacing w:line="600" w:lineRule="exact"/>
        <w:ind w:firstLineChars="200" w:firstLine="600"/>
        <w:jc w:val="left"/>
        <w:rPr>
          <w:rFonts w:ascii="仿宋_GB2312" w:eastAsia="仿宋_GB2312" w:hAnsi="仿宋" w:cs="仿宋"/>
          <w:sz w:val="30"/>
          <w:szCs w:val="30"/>
        </w:rPr>
      </w:pPr>
    </w:p>
    <w:p w:rsidR="007C2539" w:rsidRPr="008A78ED" w:rsidRDefault="007C2539" w:rsidP="008A78ED">
      <w:pPr>
        <w:spacing w:line="600" w:lineRule="exact"/>
        <w:ind w:firstLineChars="200" w:firstLine="600"/>
        <w:jc w:val="left"/>
        <w:rPr>
          <w:rFonts w:ascii="楷体_GB2312" w:eastAsia="楷体_GB2312"/>
          <w:sz w:val="30"/>
          <w:szCs w:val="30"/>
        </w:rPr>
      </w:pPr>
      <w:r w:rsidRPr="008A78ED">
        <w:rPr>
          <w:rFonts w:ascii="楷体_GB2312" w:eastAsia="楷体_GB2312" w:hint="eastAsia"/>
          <w:sz w:val="30"/>
          <w:szCs w:val="30"/>
        </w:rPr>
        <w:t>摘自《</w:t>
      </w:r>
      <w:r w:rsidR="00E27D9C" w:rsidRPr="008A78ED">
        <w:rPr>
          <w:rFonts w:ascii="楷体_GB2312" w:eastAsia="楷体_GB2312" w:hint="eastAsia"/>
          <w:sz w:val="30"/>
          <w:szCs w:val="30"/>
        </w:rPr>
        <w:t>同济大学差旅费管理办法</w:t>
      </w:r>
      <w:r w:rsidRPr="008A78ED">
        <w:rPr>
          <w:rFonts w:ascii="楷体_GB2312" w:eastAsia="楷体_GB2312" w:hint="eastAsia"/>
          <w:sz w:val="30"/>
          <w:szCs w:val="30"/>
        </w:rPr>
        <w:t>》</w:t>
      </w:r>
      <w:r w:rsidR="00E27D9C" w:rsidRPr="008A78ED">
        <w:rPr>
          <w:rFonts w:ascii="楷体_GB2312" w:eastAsia="楷体_GB2312" w:hint="eastAsia"/>
          <w:sz w:val="30"/>
          <w:szCs w:val="30"/>
        </w:rPr>
        <w:t>（同济财〔2016〕17</w:t>
      </w:r>
      <w:r w:rsidR="00D325DC">
        <w:rPr>
          <w:rFonts w:ascii="楷体_GB2312" w:eastAsia="楷体_GB2312" w:hint="eastAsia"/>
          <w:sz w:val="30"/>
          <w:szCs w:val="30"/>
        </w:rPr>
        <w:t>号</w:t>
      </w:r>
      <w:bookmarkStart w:id="0" w:name="_GoBack"/>
      <w:bookmarkEnd w:id="0"/>
      <w:r w:rsidR="00E27D9C" w:rsidRPr="008A78ED">
        <w:rPr>
          <w:rFonts w:ascii="楷体_GB2312" w:eastAsia="楷体_GB2312" w:hint="eastAsia"/>
          <w:sz w:val="30"/>
          <w:szCs w:val="30"/>
        </w:rPr>
        <w:t>）</w:t>
      </w:r>
    </w:p>
    <w:sectPr w:rsidR="007C2539" w:rsidRPr="008A78ED" w:rsidSect="005C4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E9" w:rsidRDefault="00733BE9" w:rsidP="00315B90">
      <w:r>
        <w:separator/>
      </w:r>
    </w:p>
  </w:endnote>
  <w:endnote w:type="continuationSeparator" w:id="0">
    <w:p w:rsidR="00733BE9" w:rsidRDefault="00733BE9" w:rsidP="003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E9" w:rsidRDefault="00733BE9" w:rsidP="00315B90">
      <w:r>
        <w:separator/>
      </w:r>
    </w:p>
  </w:footnote>
  <w:footnote w:type="continuationSeparator" w:id="0">
    <w:p w:rsidR="00733BE9" w:rsidRDefault="00733BE9" w:rsidP="0031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3EC"/>
    <w:rsid w:val="000113B5"/>
    <w:rsid w:val="000158F3"/>
    <w:rsid w:val="0003006E"/>
    <w:rsid w:val="00044A7A"/>
    <w:rsid w:val="00053E16"/>
    <w:rsid w:val="00060D19"/>
    <w:rsid w:val="00062F0C"/>
    <w:rsid w:val="00095400"/>
    <w:rsid w:val="000B7523"/>
    <w:rsid w:val="000C3275"/>
    <w:rsid w:val="000F1E1F"/>
    <w:rsid w:val="00127A14"/>
    <w:rsid w:val="00140B13"/>
    <w:rsid w:val="0015449C"/>
    <w:rsid w:val="00174969"/>
    <w:rsid w:val="00177C88"/>
    <w:rsid w:val="00180FB2"/>
    <w:rsid w:val="00185542"/>
    <w:rsid w:val="00185CBA"/>
    <w:rsid w:val="00202B48"/>
    <w:rsid w:val="002048CA"/>
    <w:rsid w:val="002242E0"/>
    <w:rsid w:val="00243780"/>
    <w:rsid w:val="00245803"/>
    <w:rsid w:val="00255C5B"/>
    <w:rsid w:val="00255F57"/>
    <w:rsid w:val="002953EC"/>
    <w:rsid w:val="002A206D"/>
    <w:rsid w:val="002F02FC"/>
    <w:rsid w:val="00315B90"/>
    <w:rsid w:val="00345DA5"/>
    <w:rsid w:val="003536FA"/>
    <w:rsid w:val="00355F9C"/>
    <w:rsid w:val="00360E17"/>
    <w:rsid w:val="0037616E"/>
    <w:rsid w:val="0038480B"/>
    <w:rsid w:val="003C6656"/>
    <w:rsid w:val="003E52CA"/>
    <w:rsid w:val="003F0CC8"/>
    <w:rsid w:val="003F7F23"/>
    <w:rsid w:val="00403D2E"/>
    <w:rsid w:val="00415D9C"/>
    <w:rsid w:val="00436F13"/>
    <w:rsid w:val="00447B19"/>
    <w:rsid w:val="00456816"/>
    <w:rsid w:val="00456F3C"/>
    <w:rsid w:val="004850B5"/>
    <w:rsid w:val="004E0527"/>
    <w:rsid w:val="00516121"/>
    <w:rsid w:val="00562931"/>
    <w:rsid w:val="005C4128"/>
    <w:rsid w:val="005D53C8"/>
    <w:rsid w:val="006253D2"/>
    <w:rsid w:val="006509B3"/>
    <w:rsid w:val="00655C5F"/>
    <w:rsid w:val="0067797C"/>
    <w:rsid w:val="00683977"/>
    <w:rsid w:val="006C6BD6"/>
    <w:rsid w:val="006E02E3"/>
    <w:rsid w:val="006E1139"/>
    <w:rsid w:val="00731627"/>
    <w:rsid w:val="00733BE9"/>
    <w:rsid w:val="00737FC0"/>
    <w:rsid w:val="00750C1D"/>
    <w:rsid w:val="00786C77"/>
    <w:rsid w:val="007A1A72"/>
    <w:rsid w:val="007C2539"/>
    <w:rsid w:val="007E57BA"/>
    <w:rsid w:val="007F660C"/>
    <w:rsid w:val="0081426B"/>
    <w:rsid w:val="00820530"/>
    <w:rsid w:val="00830AA7"/>
    <w:rsid w:val="008620EE"/>
    <w:rsid w:val="008840AB"/>
    <w:rsid w:val="00886A96"/>
    <w:rsid w:val="008A78ED"/>
    <w:rsid w:val="008B39BE"/>
    <w:rsid w:val="008B5B80"/>
    <w:rsid w:val="009266F6"/>
    <w:rsid w:val="009567EF"/>
    <w:rsid w:val="009A1CD4"/>
    <w:rsid w:val="009D322B"/>
    <w:rsid w:val="009F20F3"/>
    <w:rsid w:val="00A35391"/>
    <w:rsid w:val="00A4630D"/>
    <w:rsid w:val="00A52F64"/>
    <w:rsid w:val="00A82F90"/>
    <w:rsid w:val="00A87771"/>
    <w:rsid w:val="00AA7C9E"/>
    <w:rsid w:val="00AC3674"/>
    <w:rsid w:val="00B17CF9"/>
    <w:rsid w:val="00B56B14"/>
    <w:rsid w:val="00B670D2"/>
    <w:rsid w:val="00C60504"/>
    <w:rsid w:val="00C66BCB"/>
    <w:rsid w:val="00CC2CF0"/>
    <w:rsid w:val="00CC3C31"/>
    <w:rsid w:val="00CC7571"/>
    <w:rsid w:val="00D02C50"/>
    <w:rsid w:val="00D325DC"/>
    <w:rsid w:val="00D81273"/>
    <w:rsid w:val="00D83EBB"/>
    <w:rsid w:val="00D922C8"/>
    <w:rsid w:val="00DA2160"/>
    <w:rsid w:val="00DA3C6D"/>
    <w:rsid w:val="00DA6C96"/>
    <w:rsid w:val="00DC191C"/>
    <w:rsid w:val="00DF2241"/>
    <w:rsid w:val="00DF30D3"/>
    <w:rsid w:val="00DF3716"/>
    <w:rsid w:val="00E04D8A"/>
    <w:rsid w:val="00E20CA1"/>
    <w:rsid w:val="00E2411C"/>
    <w:rsid w:val="00E274E0"/>
    <w:rsid w:val="00E27D9C"/>
    <w:rsid w:val="00E81A6B"/>
    <w:rsid w:val="00E8212C"/>
    <w:rsid w:val="00E85BC4"/>
    <w:rsid w:val="00E86A85"/>
    <w:rsid w:val="00EC195D"/>
    <w:rsid w:val="00F655A4"/>
    <w:rsid w:val="00FE116C"/>
    <w:rsid w:val="00FE5BDC"/>
    <w:rsid w:val="00FE6B17"/>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434B4-5324-4D8E-A289-4CE3B991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28"/>
    <w:pPr>
      <w:widowControl w:val="0"/>
      <w:jc w:val="both"/>
    </w:pPr>
  </w:style>
  <w:style w:type="paragraph" w:styleId="1">
    <w:name w:val="heading 1"/>
    <w:basedOn w:val="a"/>
    <w:next w:val="a"/>
    <w:link w:val="1Char"/>
    <w:uiPriority w:val="9"/>
    <w:qFormat/>
    <w:rsid w:val="007C25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539"/>
    <w:rPr>
      <w:b/>
      <w:bCs/>
      <w:kern w:val="44"/>
      <w:sz w:val="44"/>
      <w:szCs w:val="44"/>
    </w:rPr>
  </w:style>
  <w:style w:type="paragraph" w:styleId="a3">
    <w:name w:val="header"/>
    <w:basedOn w:val="a"/>
    <w:link w:val="Char"/>
    <w:uiPriority w:val="99"/>
    <w:unhideWhenUsed/>
    <w:rsid w:val="00315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B90"/>
    <w:rPr>
      <w:sz w:val="18"/>
      <w:szCs w:val="18"/>
    </w:rPr>
  </w:style>
  <w:style w:type="paragraph" w:styleId="a4">
    <w:name w:val="footer"/>
    <w:basedOn w:val="a"/>
    <w:link w:val="Char0"/>
    <w:uiPriority w:val="99"/>
    <w:unhideWhenUsed/>
    <w:rsid w:val="00315B90"/>
    <w:pPr>
      <w:tabs>
        <w:tab w:val="center" w:pos="4153"/>
        <w:tab w:val="right" w:pos="8306"/>
      </w:tabs>
      <w:snapToGrid w:val="0"/>
      <w:jc w:val="left"/>
    </w:pPr>
    <w:rPr>
      <w:sz w:val="18"/>
      <w:szCs w:val="18"/>
    </w:rPr>
  </w:style>
  <w:style w:type="character" w:customStyle="1" w:styleId="Char0">
    <w:name w:val="页脚 Char"/>
    <w:basedOn w:val="a0"/>
    <w:link w:val="a4"/>
    <w:uiPriority w:val="99"/>
    <w:rsid w:val="00315B90"/>
    <w:rPr>
      <w:sz w:val="18"/>
      <w:szCs w:val="18"/>
    </w:rPr>
  </w:style>
  <w:style w:type="paragraph" w:styleId="a5">
    <w:name w:val="Balloon Text"/>
    <w:basedOn w:val="a"/>
    <w:link w:val="Char1"/>
    <w:uiPriority w:val="99"/>
    <w:semiHidden/>
    <w:unhideWhenUsed/>
    <w:rsid w:val="00185CBA"/>
    <w:rPr>
      <w:sz w:val="18"/>
      <w:szCs w:val="18"/>
    </w:rPr>
  </w:style>
  <w:style w:type="character" w:customStyle="1" w:styleId="Char1">
    <w:name w:val="批注框文本 Char"/>
    <w:basedOn w:val="a0"/>
    <w:link w:val="a5"/>
    <w:uiPriority w:val="99"/>
    <w:semiHidden/>
    <w:rsid w:val="00185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357</Words>
  <Characters>2040</Characters>
  <Application>Microsoft Office Word</Application>
  <DocSecurity>0</DocSecurity>
  <Lines>17</Lines>
  <Paragraphs>4</Paragraphs>
  <ScaleCrop>false</ScaleCrop>
  <Company>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12</cp:revision>
  <cp:lastPrinted>2019-10-08T13:59:00Z</cp:lastPrinted>
  <dcterms:created xsi:type="dcterms:W3CDTF">2017-05-16T07:18:00Z</dcterms:created>
  <dcterms:modified xsi:type="dcterms:W3CDTF">2019-10-30T00:57:00Z</dcterms:modified>
</cp:coreProperties>
</file>