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28" w:rsidRPr="00C82632" w:rsidRDefault="00977892" w:rsidP="007C2539">
      <w:pPr>
        <w:spacing w:line="500" w:lineRule="exact"/>
        <w:jc w:val="center"/>
        <w:rPr>
          <w:rFonts w:ascii="方正小标宋简体" w:eastAsia="方正小标宋简体"/>
          <w:b/>
          <w:spacing w:val="20"/>
          <w:sz w:val="44"/>
          <w:szCs w:val="44"/>
        </w:rPr>
      </w:pPr>
      <w:r w:rsidRPr="00C82632">
        <w:rPr>
          <w:rFonts w:ascii="方正小标宋简体" w:eastAsia="方正小标宋简体" w:hint="eastAsia"/>
          <w:b/>
          <w:spacing w:val="20"/>
          <w:sz w:val="44"/>
          <w:szCs w:val="44"/>
        </w:rPr>
        <w:t>因公出国</w:t>
      </w:r>
    </w:p>
    <w:p w:rsidR="007C2539" w:rsidRPr="007C2539" w:rsidRDefault="007C2539" w:rsidP="007C2539">
      <w:pPr>
        <w:spacing w:line="500" w:lineRule="exact"/>
        <w:jc w:val="center"/>
        <w:rPr>
          <w:rFonts w:ascii="方正小标宋简体" w:eastAsia="方正小标宋简体"/>
          <w:sz w:val="32"/>
          <w:szCs w:val="32"/>
        </w:rPr>
      </w:pPr>
    </w:p>
    <w:p w:rsidR="0060651C" w:rsidRPr="00C82632" w:rsidRDefault="00B7013A" w:rsidP="00C82632">
      <w:pPr>
        <w:spacing w:line="600" w:lineRule="exact"/>
        <w:ind w:firstLineChars="200" w:firstLine="600"/>
        <w:jc w:val="left"/>
        <w:rPr>
          <w:rFonts w:ascii="仿宋_GB2312" w:eastAsia="仿宋_GB2312"/>
          <w:sz w:val="30"/>
          <w:szCs w:val="30"/>
        </w:rPr>
      </w:pPr>
      <w:r w:rsidRPr="00C82632">
        <w:rPr>
          <w:rFonts w:ascii="仿宋_GB2312" w:eastAsia="仿宋_GB2312" w:hint="eastAsia"/>
          <w:sz w:val="30"/>
          <w:szCs w:val="30"/>
        </w:rPr>
        <w:t>一、</w:t>
      </w:r>
      <w:r w:rsidR="00A31FB2" w:rsidRPr="00C82632">
        <w:rPr>
          <w:rFonts w:ascii="仿宋_GB2312" w:eastAsia="仿宋_GB2312" w:hint="eastAsia"/>
          <w:sz w:val="30"/>
          <w:szCs w:val="30"/>
        </w:rPr>
        <w:t>原则上不允许</w:t>
      </w:r>
      <w:r w:rsidR="00BE3672" w:rsidRPr="00C82632">
        <w:rPr>
          <w:rFonts w:ascii="仿宋_GB2312" w:eastAsia="仿宋_GB2312" w:hint="eastAsia"/>
          <w:sz w:val="30"/>
          <w:szCs w:val="30"/>
        </w:rPr>
        <w:t>持普通护照出国执行公务</w:t>
      </w:r>
      <w:r w:rsidRPr="00C82632">
        <w:rPr>
          <w:rFonts w:ascii="仿宋_GB2312" w:eastAsia="仿宋_GB2312" w:hint="eastAsia"/>
          <w:sz w:val="30"/>
          <w:szCs w:val="30"/>
        </w:rPr>
        <w:t>。</w:t>
      </w:r>
    </w:p>
    <w:p w:rsidR="000A329A" w:rsidRPr="00C82632" w:rsidRDefault="000A329A" w:rsidP="00C82632">
      <w:pPr>
        <w:spacing w:line="600" w:lineRule="exact"/>
        <w:ind w:firstLineChars="200" w:firstLine="600"/>
        <w:jc w:val="left"/>
        <w:rPr>
          <w:rFonts w:ascii="仿宋_GB2312" w:eastAsia="仿宋_GB2312"/>
          <w:sz w:val="30"/>
          <w:szCs w:val="30"/>
        </w:rPr>
      </w:pPr>
      <w:r w:rsidRPr="00C82632">
        <w:rPr>
          <w:rFonts w:ascii="仿宋_GB2312" w:eastAsia="仿宋_GB2312" w:hint="eastAsia"/>
          <w:sz w:val="30"/>
          <w:szCs w:val="30"/>
        </w:rPr>
        <w:t>二</w:t>
      </w:r>
      <w:r w:rsidRPr="00C82632">
        <w:rPr>
          <w:rFonts w:ascii="仿宋_GB2312" w:eastAsia="仿宋_GB2312"/>
          <w:sz w:val="30"/>
          <w:szCs w:val="30"/>
        </w:rPr>
        <w:t>、</w:t>
      </w:r>
      <w:r w:rsidRPr="00C82632">
        <w:rPr>
          <w:rFonts w:ascii="仿宋_GB2312" w:eastAsia="仿宋_GB2312" w:hint="eastAsia"/>
          <w:sz w:val="30"/>
          <w:szCs w:val="30"/>
        </w:rPr>
        <w:t>不得以任何理由绕道旅行，或以过境名义变相增加出访国家和时间。</w:t>
      </w:r>
    </w:p>
    <w:p w:rsidR="00977892" w:rsidRPr="00C82632" w:rsidRDefault="005373DC" w:rsidP="00C82632">
      <w:pPr>
        <w:spacing w:line="600" w:lineRule="exact"/>
        <w:ind w:firstLineChars="200" w:firstLine="600"/>
        <w:jc w:val="left"/>
        <w:rPr>
          <w:rFonts w:ascii="仿宋_GB2312" w:eastAsia="仿宋_GB2312"/>
          <w:sz w:val="30"/>
          <w:szCs w:val="30"/>
        </w:rPr>
      </w:pPr>
      <w:r>
        <w:rPr>
          <w:rFonts w:ascii="仿宋_GB2312" w:eastAsia="仿宋_GB2312" w:hint="eastAsia"/>
          <w:sz w:val="30"/>
          <w:szCs w:val="30"/>
        </w:rPr>
        <w:t>三</w:t>
      </w:r>
      <w:r w:rsidR="00B7013A" w:rsidRPr="00C82632">
        <w:rPr>
          <w:rFonts w:ascii="仿宋_GB2312" w:eastAsia="仿宋_GB2312" w:hint="eastAsia"/>
          <w:sz w:val="30"/>
          <w:szCs w:val="30"/>
        </w:rPr>
        <w:t>、</w:t>
      </w:r>
      <w:r w:rsidR="00977892" w:rsidRPr="00C82632">
        <w:rPr>
          <w:rFonts w:ascii="仿宋_GB2312" w:eastAsia="仿宋_GB2312" w:hint="eastAsia"/>
          <w:sz w:val="30"/>
          <w:szCs w:val="30"/>
        </w:rPr>
        <w:t>中层干部因公临时出国应列入单位年度出访计划，原则上不安排计划外团组出访。出访计划每年由单位领导集体讨论，通过部务会议、处务会议、学院（系）党政联席会议等方式确定，并报党委组织部备案。</w:t>
      </w:r>
    </w:p>
    <w:p w:rsidR="007C2539" w:rsidRPr="00C82632" w:rsidRDefault="005373DC" w:rsidP="00C82632">
      <w:pPr>
        <w:spacing w:line="600" w:lineRule="exact"/>
        <w:ind w:firstLineChars="200" w:firstLine="600"/>
        <w:jc w:val="left"/>
        <w:rPr>
          <w:rFonts w:ascii="仿宋_GB2312" w:eastAsia="仿宋_GB2312" w:hAnsi="宋体" w:cs="宋体"/>
          <w:color w:val="000000" w:themeColor="text1"/>
          <w:kern w:val="0"/>
          <w:sz w:val="30"/>
          <w:szCs w:val="30"/>
        </w:rPr>
      </w:pPr>
      <w:r>
        <w:rPr>
          <w:rFonts w:ascii="仿宋_GB2312" w:eastAsia="仿宋_GB2312" w:hAnsi="宋体" w:cs="宋体" w:hint="eastAsia"/>
          <w:color w:val="000000" w:themeColor="text1"/>
          <w:kern w:val="0"/>
          <w:sz w:val="30"/>
          <w:szCs w:val="30"/>
        </w:rPr>
        <w:t>四</w:t>
      </w:r>
      <w:r w:rsidR="00B7013A" w:rsidRPr="00C82632">
        <w:rPr>
          <w:rFonts w:ascii="仿宋_GB2312" w:eastAsia="仿宋_GB2312" w:hAnsi="宋体" w:cs="宋体" w:hint="eastAsia"/>
          <w:color w:val="000000" w:themeColor="text1"/>
          <w:kern w:val="0"/>
          <w:sz w:val="30"/>
          <w:szCs w:val="30"/>
        </w:rPr>
        <w:t>、</w:t>
      </w:r>
      <w:r w:rsidR="00977892" w:rsidRPr="00C82632">
        <w:rPr>
          <w:rFonts w:ascii="仿宋_GB2312" w:eastAsia="仿宋_GB2312" w:hAnsi="宋体" w:cs="宋体" w:hint="eastAsia"/>
          <w:color w:val="000000" w:themeColor="text1"/>
          <w:kern w:val="0"/>
          <w:sz w:val="30"/>
          <w:szCs w:val="30"/>
        </w:rPr>
        <w:t>中层干部因公临时出国出访前应在学校信息门户网站和学院、部处公告栏进行公示。公示内容包括团组全体人员的姓名、单位和职务，出访国家、任务、日程安排、往返航线，邀请函、邀请单位情况介绍，经费来源和预算。公示期限原则上不少于5个工作日</w:t>
      </w:r>
      <w:r w:rsidR="007C2539" w:rsidRPr="00C82632">
        <w:rPr>
          <w:rFonts w:ascii="仿宋_GB2312" w:eastAsia="仿宋_GB2312" w:hAnsi="宋体" w:cs="宋体" w:hint="eastAsia"/>
          <w:color w:val="000000" w:themeColor="text1"/>
          <w:kern w:val="0"/>
          <w:sz w:val="30"/>
          <w:szCs w:val="30"/>
        </w:rPr>
        <w:t>。</w:t>
      </w:r>
    </w:p>
    <w:p w:rsidR="00315B90" w:rsidRPr="00C82632" w:rsidRDefault="005373DC" w:rsidP="00C82632">
      <w:pPr>
        <w:tabs>
          <w:tab w:val="left" w:pos="1701"/>
          <w:tab w:val="left" w:pos="1843"/>
        </w:tabs>
        <w:spacing w:line="600" w:lineRule="exact"/>
        <w:ind w:firstLineChars="200" w:firstLine="600"/>
        <w:rPr>
          <w:rFonts w:ascii="仿宋_GB2312" w:eastAsia="仿宋_GB2312" w:hAnsi="仿宋" w:cs="仿宋"/>
          <w:sz w:val="30"/>
          <w:szCs w:val="30"/>
        </w:rPr>
      </w:pPr>
      <w:r>
        <w:rPr>
          <w:rFonts w:ascii="仿宋_GB2312" w:eastAsia="仿宋_GB2312" w:hAnsi="宋体" w:cs="宋体" w:hint="eastAsia"/>
          <w:color w:val="000000" w:themeColor="text1"/>
          <w:kern w:val="0"/>
          <w:sz w:val="30"/>
          <w:szCs w:val="30"/>
        </w:rPr>
        <w:t>五</w:t>
      </w:r>
      <w:r w:rsidR="00B7013A" w:rsidRPr="00C82632">
        <w:rPr>
          <w:rFonts w:ascii="仿宋_GB2312" w:eastAsia="仿宋_GB2312" w:hAnsi="宋体" w:cs="宋体" w:hint="eastAsia"/>
          <w:color w:val="000000" w:themeColor="text1"/>
          <w:kern w:val="0"/>
          <w:sz w:val="30"/>
          <w:szCs w:val="30"/>
        </w:rPr>
        <w:t>、</w:t>
      </w:r>
      <w:r w:rsidR="00977892" w:rsidRPr="00C82632">
        <w:rPr>
          <w:rFonts w:ascii="仿宋_GB2312" w:eastAsia="仿宋_GB2312" w:hAnsi="仿宋" w:cs="仿宋" w:hint="eastAsia"/>
          <w:sz w:val="30"/>
          <w:szCs w:val="30"/>
        </w:rPr>
        <w:t>中层干部每年使用行政事业经费等非科研经费因公临时出国原则上不超过20天。每个团组人数不超过5人，同一单位的党政主要领导原则上不同时出访且同一单位领导班子成员不超过2人。</w:t>
      </w:r>
    </w:p>
    <w:p w:rsidR="000A329A" w:rsidRPr="00C82632" w:rsidRDefault="000A329A" w:rsidP="00C82632">
      <w:pPr>
        <w:spacing w:line="600" w:lineRule="exact"/>
        <w:ind w:firstLineChars="200" w:firstLine="600"/>
        <w:jc w:val="left"/>
        <w:rPr>
          <w:rFonts w:ascii="仿宋_GB2312" w:eastAsia="仿宋_GB2312" w:hAnsi="宋体" w:cs="宋体"/>
          <w:color w:val="000000" w:themeColor="text1"/>
          <w:kern w:val="0"/>
          <w:sz w:val="30"/>
          <w:szCs w:val="30"/>
        </w:rPr>
      </w:pPr>
      <w:r w:rsidRPr="00C82632">
        <w:rPr>
          <w:rFonts w:ascii="仿宋_GB2312" w:eastAsia="仿宋_GB2312" w:hAnsi="宋体" w:cs="宋体" w:hint="eastAsia"/>
          <w:color w:val="000000" w:themeColor="text1"/>
          <w:kern w:val="0"/>
          <w:sz w:val="30"/>
          <w:szCs w:val="30"/>
        </w:rPr>
        <w:t>六、中层干部以学者身份出国出席国际会议或进行个人学术交流活动不得使用学校及所在单位的行政事业经费并尽可能安排在假期进行。每年停留时间总计不超过30天（含30天）。超过10天的此类活动也应纳入年度计划，并按规定进行讨论、报备和公示，并需征得分管（或联系）校领导同意。</w:t>
      </w:r>
    </w:p>
    <w:p w:rsidR="007C2539" w:rsidRPr="00C82632" w:rsidRDefault="005373DC" w:rsidP="00C82632">
      <w:pPr>
        <w:spacing w:line="600" w:lineRule="exact"/>
        <w:ind w:firstLineChars="200" w:firstLine="600"/>
        <w:jc w:val="left"/>
        <w:rPr>
          <w:rFonts w:ascii="仿宋_GB2312" w:eastAsia="仿宋_GB2312" w:hAnsi="宋体" w:cs="宋体"/>
          <w:color w:val="000000" w:themeColor="text1"/>
          <w:kern w:val="0"/>
          <w:sz w:val="30"/>
          <w:szCs w:val="30"/>
        </w:rPr>
      </w:pPr>
      <w:r>
        <w:rPr>
          <w:rFonts w:ascii="仿宋_GB2312" w:eastAsia="仿宋_GB2312" w:hAnsi="宋体" w:cs="宋体" w:hint="eastAsia"/>
          <w:color w:val="000000" w:themeColor="text1"/>
          <w:kern w:val="0"/>
          <w:sz w:val="30"/>
          <w:szCs w:val="30"/>
        </w:rPr>
        <w:lastRenderedPageBreak/>
        <w:t>七</w:t>
      </w:r>
      <w:r w:rsidR="00B7013A" w:rsidRPr="00C82632">
        <w:rPr>
          <w:rFonts w:ascii="仿宋_GB2312" w:eastAsia="仿宋_GB2312" w:hAnsi="宋体" w:cs="宋体" w:hint="eastAsia"/>
          <w:color w:val="000000" w:themeColor="text1"/>
          <w:kern w:val="0"/>
          <w:sz w:val="30"/>
          <w:szCs w:val="30"/>
        </w:rPr>
        <w:t>、</w:t>
      </w:r>
      <w:r w:rsidR="00977892" w:rsidRPr="00C82632">
        <w:rPr>
          <w:rFonts w:ascii="仿宋_GB2312" w:eastAsia="仿宋_GB2312" w:hAnsi="宋体" w:cs="宋体" w:hint="eastAsia"/>
          <w:color w:val="000000" w:themeColor="text1"/>
          <w:kern w:val="0"/>
          <w:sz w:val="30"/>
          <w:szCs w:val="30"/>
        </w:rPr>
        <w:t>每次出访不得超过3个国家和地区（含经停国家和地区，不出机场的除外，下同），在外停留不超过10天（含离、抵境当日，下同）。出访2国不超过8天，出访1国不超过5天。赴拉美、非洲航班衔接不便的国家的团组，出访2国不超过9天，出访1国不超过6天。</w:t>
      </w:r>
    </w:p>
    <w:tbl>
      <w:tblPr>
        <w:tblStyle w:val="a5"/>
        <w:tblW w:w="5000" w:type="pct"/>
        <w:tblLook w:val="04A0" w:firstRow="1" w:lastRow="0" w:firstColumn="1" w:lastColumn="0" w:noHBand="0" w:noVBand="1"/>
      </w:tblPr>
      <w:tblGrid>
        <w:gridCol w:w="1669"/>
        <w:gridCol w:w="990"/>
        <w:gridCol w:w="5863"/>
      </w:tblGrid>
      <w:tr w:rsidR="00993220" w:rsidRPr="009038F1" w:rsidTr="00C82632">
        <w:tc>
          <w:tcPr>
            <w:tcW w:w="979" w:type="pct"/>
            <w:vAlign w:val="center"/>
          </w:tcPr>
          <w:p w:rsidR="00993220" w:rsidRPr="009038F1" w:rsidRDefault="00993220" w:rsidP="00C82632">
            <w:pPr>
              <w:spacing w:line="400" w:lineRule="exact"/>
              <w:jc w:val="center"/>
              <w:rPr>
                <w:rFonts w:ascii="黑体" w:eastAsia="黑体" w:cs="宋体"/>
                <w:b/>
                <w:color w:val="000000" w:themeColor="text1"/>
                <w:kern w:val="0"/>
                <w:sz w:val="28"/>
                <w:szCs w:val="28"/>
              </w:rPr>
            </w:pPr>
            <w:r w:rsidRPr="009038F1">
              <w:rPr>
                <w:rFonts w:ascii="黑体" w:eastAsia="黑体" w:cs="宋体" w:hint="eastAsia"/>
                <w:b/>
                <w:color w:val="000000" w:themeColor="text1"/>
                <w:kern w:val="0"/>
                <w:sz w:val="28"/>
                <w:szCs w:val="28"/>
              </w:rPr>
              <w:t>出访国家和地区数量</w:t>
            </w:r>
          </w:p>
        </w:tc>
        <w:tc>
          <w:tcPr>
            <w:tcW w:w="581" w:type="pct"/>
            <w:vAlign w:val="center"/>
          </w:tcPr>
          <w:p w:rsidR="00993220" w:rsidRPr="009038F1" w:rsidRDefault="00993220" w:rsidP="00C82632">
            <w:pPr>
              <w:spacing w:line="400" w:lineRule="exact"/>
              <w:jc w:val="center"/>
              <w:rPr>
                <w:rFonts w:ascii="黑体" w:eastAsia="黑体" w:cs="宋体"/>
                <w:b/>
                <w:color w:val="000000" w:themeColor="text1"/>
                <w:kern w:val="0"/>
                <w:sz w:val="28"/>
                <w:szCs w:val="28"/>
              </w:rPr>
            </w:pPr>
            <w:r w:rsidRPr="009038F1">
              <w:rPr>
                <w:rFonts w:ascii="黑体" w:eastAsia="黑体" w:cs="宋体" w:hint="eastAsia"/>
                <w:b/>
                <w:color w:val="000000" w:themeColor="text1"/>
                <w:kern w:val="0"/>
                <w:sz w:val="28"/>
                <w:szCs w:val="28"/>
              </w:rPr>
              <w:t>出访天数</w:t>
            </w:r>
          </w:p>
        </w:tc>
        <w:tc>
          <w:tcPr>
            <w:tcW w:w="3439" w:type="pct"/>
            <w:vAlign w:val="center"/>
          </w:tcPr>
          <w:p w:rsidR="00993220" w:rsidRPr="009038F1" w:rsidRDefault="00993220" w:rsidP="00C82632">
            <w:pPr>
              <w:spacing w:line="400" w:lineRule="exact"/>
              <w:jc w:val="center"/>
              <w:rPr>
                <w:rFonts w:ascii="黑体" w:eastAsia="黑体" w:cs="宋体"/>
                <w:b/>
                <w:color w:val="000000" w:themeColor="text1"/>
                <w:kern w:val="0"/>
                <w:sz w:val="28"/>
                <w:szCs w:val="28"/>
              </w:rPr>
            </w:pPr>
            <w:r w:rsidRPr="009038F1">
              <w:rPr>
                <w:rFonts w:ascii="黑体" w:eastAsia="黑体" w:cs="宋体" w:hint="eastAsia"/>
                <w:b/>
                <w:color w:val="000000" w:themeColor="text1"/>
                <w:kern w:val="0"/>
                <w:sz w:val="28"/>
                <w:szCs w:val="28"/>
              </w:rPr>
              <w:t>备注</w:t>
            </w:r>
          </w:p>
        </w:tc>
      </w:tr>
      <w:tr w:rsidR="00993220" w:rsidRPr="009038F1" w:rsidTr="00C82632">
        <w:trPr>
          <w:trHeight w:val="974"/>
        </w:trPr>
        <w:tc>
          <w:tcPr>
            <w:tcW w:w="979" w:type="pct"/>
            <w:vAlign w:val="center"/>
          </w:tcPr>
          <w:p w:rsidR="00993220" w:rsidRPr="009038F1" w:rsidRDefault="00993220" w:rsidP="00C82632">
            <w:pPr>
              <w:spacing w:line="400" w:lineRule="exact"/>
              <w:jc w:val="center"/>
              <w:rPr>
                <w:rFonts w:ascii="仿宋_GB2312" w:eastAsia="仿宋_GB2312" w:cs="宋体"/>
                <w:color w:val="000000" w:themeColor="text1"/>
                <w:kern w:val="0"/>
                <w:sz w:val="28"/>
                <w:szCs w:val="28"/>
              </w:rPr>
            </w:pPr>
            <w:r w:rsidRPr="009038F1">
              <w:rPr>
                <w:rFonts w:ascii="仿宋_GB2312" w:eastAsia="仿宋_GB2312" w:cs="宋体" w:hint="eastAsia"/>
                <w:color w:val="000000" w:themeColor="text1"/>
                <w:kern w:val="0"/>
                <w:sz w:val="28"/>
                <w:szCs w:val="28"/>
              </w:rPr>
              <w:t>3</w:t>
            </w:r>
          </w:p>
        </w:tc>
        <w:tc>
          <w:tcPr>
            <w:tcW w:w="581" w:type="pct"/>
            <w:vAlign w:val="center"/>
          </w:tcPr>
          <w:p w:rsidR="00993220" w:rsidRPr="009038F1" w:rsidRDefault="00993220" w:rsidP="00C82632">
            <w:pPr>
              <w:spacing w:line="400" w:lineRule="exact"/>
              <w:jc w:val="center"/>
              <w:rPr>
                <w:rFonts w:ascii="仿宋_GB2312" w:eastAsia="仿宋_GB2312" w:cs="宋体"/>
                <w:color w:val="000000" w:themeColor="text1"/>
                <w:kern w:val="0"/>
                <w:sz w:val="28"/>
                <w:szCs w:val="28"/>
              </w:rPr>
            </w:pPr>
            <w:r w:rsidRPr="009038F1">
              <w:rPr>
                <w:rFonts w:ascii="仿宋_GB2312" w:eastAsia="仿宋_GB2312" w:cs="宋体" w:hint="eastAsia"/>
                <w:color w:val="000000" w:themeColor="text1"/>
                <w:kern w:val="0"/>
                <w:sz w:val="28"/>
                <w:szCs w:val="28"/>
              </w:rPr>
              <w:t>10</w:t>
            </w:r>
          </w:p>
        </w:tc>
        <w:tc>
          <w:tcPr>
            <w:tcW w:w="3439" w:type="pct"/>
            <w:vAlign w:val="center"/>
          </w:tcPr>
          <w:p w:rsidR="00993220" w:rsidRPr="009038F1" w:rsidRDefault="00993220" w:rsidP="00C82632">
            <w:pPr>
              <w:spacing w:line="400" w:lineRule="exact"/>
              <w:jc w:val="left"/>
              <w:rPr>
                <w:rFonts w:ascii="仿宋_GB2312" w:eastAsia="仿宋_GB2312" w:cs="宋体"/>
                <w:color w:val="000000" w:themeColor="text1"/>
                <w:kern w:val="0"/>
                <w:sz w:val="28"/>
                <w:szCs w:val="28"/>
              </w:rPr>
            </w:pPr>
            <w:r w:rsidRPr="009038F1">
              <w:rPr>
                <w:rFonts w:ascii="仿宋_GB2312" w:eastAsia="仿宋_GB2312" w:hAnsi="宋体" w:cs="宋体" w:hint="eastAsia"/>
                <w:color w:val="000000" w:themeColor="text1"/>
                <w:kern w:val="0"/>
                <w:sz w:val="28"/>
                <w:szCs w:val="28"/>
              </w:rPr>
              <w:t>每次出访不得超过3个国家和地区（含经停国家和地区，不出机场的除外），天数含离、抵境当日，下同</w:t>
            </w:r>
          </w:p>
        </w:tc>
      </w:tr>
      <w:tr w:rsidR="00993220" w:rsidRPr="009038F1" w:rsidTr="00C82632">
        <w:trPr>
          <w:trHeight w:val="689"/>
        </w:trPr>
        <w:tc>
          <w:tcPr>
            <w:tcW w:w="979" w:type="pct"/>
            <w:vAlign w:val="center"/>
          </w:tcPr>
          <w:p w:rsidR="00993220" w:rsidRPr="009038F1" w:rsidRDefault="00993220" w:rsidP="00C82632">
            <w:pPr>
              <w:spacing w:line="400" w:lineRule="exact"/>
              <w:jc w:val="center"/>
              <w:rPr>
                <w:rFonts w:ascii="仿宋_GB2312" w:eastAsia="仿宋_GB2312" w:cs="宋体"/>
                <w:color w:val="000000" w:themeColor="text1"/>
                <w:kern w:val="0"/>
                <w:sz w:val="28"/>
                <w:szCs w:val="28"/>
              </w:rPr>
            </w:pPr>
            <w:r w:rsidRPr="009038F1">
              <w:rPr>
                <w:rFonts w:ascii="仿宋_GB2312" w:eastAsia="仿宋_GB2312" w:cs="宋体" w:hint="eastAsia"/>
                <w:color w:val="000000" w:themeColor="text1"/>
                <w:kern w:val="0"/>
                <w:sz w:val="28"/>
                <w:szCs w:val="28"/>
              </w:rPr>
              <w:t>2</w:t>
            </w:r>
          </w:p>
        </w:tc>
        <w:tc>
          <w:tcPr>
            <w:tcW w:w="581" w:type="pct"/>
            <w:vAlign w:val="center"/>
          </w:tcPr>
          <w:p w:rsidR="00993220" w:rsidRPr="009038F1" w:rsidRDefault="00993220" w:rsidP="00C82632">
            <w:pPr>
              <w:spacing w:line="400" w:lineRule="exact"/>
              <w:jc w:val="center"/>
              <w:rPr>
                <w:rFonts w:ascii="仿宋_GB2312" w:eastAsia="仿宋_GB2312" w:cs="宋体"/>
                <w:color w:val="000000" w:themeColor="text1"/>
                <w:kern w:val="0"/>
                <w:sz w:val="28"/>
                <w:szCs w:val="28"/>
              </w:rPr>
            </w:pPr>
            <w:r w:rsidRPr="009038F1">
              <w:rPr>
                <w:rFonts w:ascii="仿宋_GB2312" w:eastAsia="仿宋_GB2312" w:cs="宋体" w:hint="eastAsia"/>
                <w:color w:val="000000" w:themeColor="text1"/>
                <w:kern w:val="0"/>
                <w:sz w:val="28"/>
                <w:szCs w:val="28"/>
              </w:rPr>
              <w:t>8</w:t>
            </w:r>
          </w:p>
        </w:tc>
        <w:tc>
          <w:tcPr>
            <w:tcW w:w="3439" w:type="pct"/>
            <w:vAlign w:val="center"/>
          </w:tcPr>
          <w:p w:rsidR="00993220" w:rsidRPr="009038F1" w:rsidRDefault="00993220" w:rsidP="00C82632">
            <w:pPr>
              <w:spacing w:line="400" w:lineRule="exact"/>
              <w:jc w:val="left"/>
              <w:rPr>
                <w:rFonts w:ascii="仿宋_GB2312" w:eastAsia="仿宋_GB2312" w:cs="宋体"/>
                <w:color w:val="000000" w:themeColor="text1"/>
                <w:kern w:val="0"/>
                <w:sz w:val="28"/>
                <w:szCs w:val="28"/>
              </w:rPr>
            </w:pPr>
            <w:r w:rsidRPr="009038F1">
              <w:rPr>
                <w:rFonts w:ascii="仿宋_GB2312" w:eastAsia="仿宋_GB2312" w:hAnsi="宋体" w:cs="宋体" w:hint="eastAsia"/>
                <w:color w:val="000000" w:themeColor="text1"/>
                <w:kern w:val="0"/>
                <w:sz w:val="28"/>
                <w:szCs w:val="28"/>
              </w:rPr>
              <w:t>赴拉美、非洲航班衔接不便的国家的团组，出访2国不超过9天</w:t>
            </w:r>
          </w:p>
        </w:tc>
      </w:tr>
      <w:tr w:rsidR="00993220" w:rsidRPr="009038F1" w:rsidTr="00C82632">
        <w:trPr>
          <w:trHeight w:val="683"/>
        </w:trPr>
        <w:tc>
          <w:tcPr>
            <w:tcW w:w="979" w:type="pct"/>
            <w:vAlign w:val="center"/>
          </w:tcPr>
          <w:p w:rsidR="00993220" w:rsidRPr="009038F1" w:rsidRDefault="00993220" w:rsidP="00C82632">
            <w:pPr>
              <w:spacing w:line="400" w:lineRule="exact"/>
              <w:jc w:val="center"/>
              <w:rPr>
                <w:rFonts w:ascii="仿宋_GB2312" w:eastAsia="仿宋_GB2312" w:cs="宋体"/>
                <w:color w:val="000000" w:themeColor="text1"/>
                <w:kern w:val="0"/>
                <w:sz w:val="28"/>
                <w:szCs w:val="28"/>
              </w:rPr>
            </w:pPr>
            <w:r w:rsidRPr="009038F1">
              <w:rPr>
                <w:rFonts w:ascii="仿宋_GB2312" w:eastAsia="仿宋_GB2312" w:cs="宋体" w:hint="eastAsia"/>
                <w:color w:val="000000" w:themeColor="text1"/>
                <w:kern w:val="0"/>
                <w:sz w:val="28"/>
                <w:szCs w:val="28"/>
              </w:rPr>
              <w:t>1</w:t>
            </w:r>
          </w:p>
        </w:tc>
        <w:tc>
          <w:tcPr>
            <w:tcW w:w="581" w:type="pct"/>
            <w:vAlign w:val="center"/>
          </w:tcPr>
          <w:p w:rsidR="00993220" w:rsidRPr="009038F1" w:rsidRDefault="00993220" w:rsidP="00C82632">
            <w:pPr>
              <w:spacing w:line="400" w:lineRule="exact"/>
              <w:jc w:val="center"/>
              <w:rPr>
                <w:rFonts w:ascii="仿宋_GB2312" w:eastAsia="仿宋_GB2312" w:cs="宋体"/>
                <w:color w:val="000000" w:themeColor="text1"/>
                <w:kern w:val="0"/>
                <w:sz w:val="28"/>
                <w:szCs w:val="28"/>
              </w:rPr>
            </w:pPr>
            <w:r w:rsidRPr="009038F1">
              <w:rPr>
                <w:rFonts w:ascii="仿宋_GB2312" w:eastAsia="仿宋_GB2312" w:cs="宋体" w:hint="eastAsia"/>
                <w:color w:val="000000" w:themeColor="text1"/>
                <w:kern w:val="0"/>
                <w:sz w:val="28"/>
                <w:szCs w:val="28"/>
              </w:rPr>
              <w:t>5</w:t>
            </w:r>
          </w:p>
        </w:tc>
        <w:tc>
          <w:tcPr>
            <w:tcW w:w="3439" w:type="pct"/>
            <w:vAlign w:val="center"/>
          </w:tcPr>
          <w:p w:rsidR="00993220" w:rsidRPr="009038F1" w:rsidRDefault="00993220" w:rsidP="00C82632">
            <w:pPr>
              <w:spacing w:line="400" w:lineRule="exact"/>
              <w:jc w:val="left"/>
              <w:rPr>
                <w:rFonts w:ascii="仿宋_GB2312" w:eastAsia="仿宋_GB2312" w:cs="宋体"/>
                <w:color w:val="000000" w:themeColor="text1"/>
                <w:kern w:val="0"/>
                <w:sz w:val="28"/>
                <w:szCs w:val="28"/>
              </w:rPr>
            </w:pPr>
            <w:r w:rsidRPr="009038F1">
              <w:rPr>
                <w:rFonts w:ascii="仿宋_GB2312" w:eastAsia="仿宋_GB2312" w:hAnsi="宋体" w:cs="宋体" w:hint="eastAsia"/>
                <w:color w:val="000000" w:themeColor="text1"/>
                <w:kern w:val="0"/>
                <w:sz w:val="28"/>
                <w:szCs w:val="28"/>
              </w:rPr>
              <w:t>赴拉美、非洲航班衔接不便的国家的团组，出访1国不超过6天</w:t>
            </w:r>
          </w:p>
        </w:tc>
      </w:tr>
    </w:tbl>
    <w:p w:rsidR="000A329A" w:rsidRPr="00C82632" w:rsidRDefault="005373DC" w:rsidP="00C82632">
      <w:pPr>
        <w:tabs>
          <w:tab w:val="left" w:pos="1701"/>
          <w:tab w:val="left" w:pos="1843"/>
        </w:tabs>
        <w:spacing w:line="6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八</w:t>
      </w:r>
      <w:r w:rsidR="000A329A" w:rsidRPr="00C82632">
        <w:rPr>
          <w:rFonts w:ascii="仿宋_GB2312" w:eastAsia="仿宋_GB2312" w:hAnsi="仿宋" w:cs="仿宋"/>
          <w:sz w:val="30"/>
          <w:szCs w:val="30"/>
        </w:rPr>
        <w:t>、</w:t>
      </w:r>
      <w:r w:rsidR="000A329A" w:rsidRPr="00C82632">
        <w:rPr>
          <w:rFonts w:ascii="仿宋_GB2312" w:eastAsia="仿宋_GB2312" w:hAnsi="仿宋" w:cs="仿宋" w:hint="eastAsia"/>
          <w:sz w:val="30"/>
          <w:szCs w:val="30"/>
        </w:rPr>
        <w:t>省部级人员、院士可以乘坐飞机头等舱、轮船一等舱、火车高级软卧或全列软席列车的商务座；司局级人员可以乘坐飞机公务舱、轮船二等舱、火车软卧或全列软席列车的一等座；正高级专业技术职务人员因科研业务需要使用科研经费出国,在预算范围内可以乘坐飞机公务舱、轮船二等舱、火车软卧或全列软席列车的一等座；正高级专业技术职务人员使用单位经费出国应乘坐飞机经济舱、轮船三等舱、火车硬卧或全列软席列车的二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一等级舱位。上述人员发生的国际旅费据实报销。</w:t>
      </w:r>
    </w:p>
    <w:p w:rsidR="000A329A" w:rsidRPr="00C82632" w:rsidRDefault="005373DC" w:rsidP="00C82632">
      <w:pPr>
        <w:spacing w:line="600" w:lineRule="exact"/>
        <w:ind w:firstLineChars="200" w:firstLine="600"/>
        <w:jc w:val="left"/>
        <w:rPr>
          <w:rFonts w:ascii="仿宋_GB2312" w:eastAsia="仿宋_GB2312"/>
          <w:sz w:val="30"/>
          <w:szCs w:val="30"/>
        </w:rPr>
      </w:pPr>
      <w:r>
        <w:rPr>
          <w:rFonts w:ascii="仿宋_GB2312" w:eastAsia="仿宋_GB2312" w:hAnsi="仿宋" w:cs="仿宋" w:hint="eastAsia"/>
          <w:sz w:val="30"/>
          <w:szCs w:val="30"/>
        </w:rPr>
        <w:lastRenderedPageBreak/>
        <w:t>九</w:t>
      </w:r>
      <w:r w:rsidR="00B7013A" w:rsidRPr="00C82632">
        <w:rPr>
          <w:rFonts w:ascii="仿宋_GB2312" w:eastAsia="仿宋_GB2312" w:hAnsi="仿宋" w:cs="仿宋" w:hint="eastAsia"/>
          <w:sz w:val="30"/>
          <w:szCs w:val="30"/>
        </w:rPr>
        <w:t>、</w:t>
      </w:r>
      <w:r w:rsidR="000A329A" w:rsidRPr="00C82632">
        <w:rPr>
          <w:rFonts w:ascii="仿宋_GB2312" w:eastAsia="仿宋_GB2312" w:hint="eastAsia"/>
          <w:sz w:val="30"/>
          <w:szCs w:val="30"/>
        </w:rPr>
        <w:t>出国人员根据出访任务需要在一个国家城市间往来，应当事先在出国计划中列明，并报学校外事办公室批准。未列入出国计划的、未经学校外事办公室批准的不得在国外城市间往来。</w:t>
      </w:r>
    </w:p>
    <w:p w:rsidR="000A329A" w:rsidRPr="00C82632" w:rsidRDefault="005373DC" w:rsidP="00C82632">
      <w:pPr>
        <w:spacing w:line="60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十</w:t>
      </w:r>
      <w:r w:rsidR="003E631B" w:rsidRPr="00C82632">
        <w:rPr>
          <w:rFonts w:ascii="仿宋_GB2312" w:eastAsia="仿宋_GB2312" w:hAnsi="仿宋" w:cs="仿宋"/>
          <w:sz w:val="30"/>
          <w:szCs w:val="30"/>
        </w:rPr>
        <w:t>、</w:t>
      </w:r>
      <w:r w:rsidR="000A329A" w:rsidRPr="00C82632">
        <w:rPr>
          <w:rFonts w:ascii="仿宋_GB2312" w:eastAsia="仿宋_GB2312" w:hAnsi="仿宋" w:cs="仿宋" w:hint="eastAsia"/>
          <w:sz w:val="30"/>
          <w:szCs w:val="30"/>
        </w:rPr>
        <w:t>出国人员的行程必须按照批准的计划执行，其城市间交通费凭有效原始票据据实报销。在国外一般应使用公共交通，确有需要在国外包租车的，应事先报经学校外事办公室批准。</w:t>
      </w:r>
    </w:p>
    <w:p w:rsidR="000A329A" w:rsidRPr="00C82632" w:rsidRDefault="003E631B" w:rsidP="00C82632">
      <w:pPr>
        <w:spacing w:line="600" w:lineRule="exact"/>
        <w:ind w:firstLineChars="200" w:firstLine="600"/>
        <w:jc w:val="left"/>
        <w:rPr>
          <w:rFonts w:ascii="仿宋_GB2312" w:eastAsia="仿宋_GB2312" w:hAnsi="仿宋" w:cs="仿宋"/>
          <w:sz w:val="30"/>
          <w:szCs w:val="30"/>
        </w:rPr>
      </w:pPr>
      <w:r w:rsidRPr="00C82632">
        <w:rPr>
          <w:rFonts w:ascii="仿宋_GB2312" w:eastAsia="仿宋_GB2312" w:hAnsi="仿宋" w:cs="仿宋" w:hint="eastAsia"/>
          <w:sz w:val="30"/>
          <w:szCs w:val="30"/>
        </w:rPr>
        <w:t>十</w:t>
      </w:r>
      <w:r w:rsidR="005373DC">
        <w:rPr>
          <w:rFonts w:ascii="仿宋_GB2312" w:eastAsia="仿宋_GB2312" w:hAnsi="仿宋" w:cs="仿宋" w:hint="eastAsia"/>
          <w:sz w:val="30"/>
          <w:szCs w:val="30"/>
        </w:rPr>
        <w:t>一</w:t>
      </w:r>
      <w:r w:rsidRPr="00C82632">
        <w:rPr>
          <w:rFonts w:ascii="仿宋_GB2312" w:eastAsia="仿宋_GB2312" w:hAnsi="仿宋" w:cs="仿宋" w:hint="eastAsia"/>
          <w:sz w:val="30"/>
          <w:szCs w:val="30"/>
        </w:rPr>
        <w:t>、</w:t>
      </w:r>
      <w:r w:rsidR="000A329A" w:rsidRPr="00C82632">
        <w:rPr>
          <w:rFonts w:ascii="仿宋_GB2312" w:eastAsia="仿宋_GB2312" w:hAnsi="仿宋" w:cs="仿宋" w:hint="eastAsia"/>
          <w:sz w:val="30"/>
          <w:szCs w:val="30"/>
        </w:rPr>
        <w:t>出国人员应当严格按照规定安排住宿，省部级人员、院士可安排普通套房，住宿费据实报销；司局级、正高级专业技术职务人员及以下人员安排标准间，住宿费在</w:t>
      </w:r>
      <w:r w:rsidR="00F1698E" w:rsidRPr="00C82632">
        <w:rPr>
          <w:rFonts w:ascii="楷体_GB2312" w:eastAsia="楷体_GB2312" w:hint="eastAsia"/>
          <w:sz w:val="30"/>
          <w:szCs w:val="30"/>
        </w:rPr>
        <w:t>《同济大学因公临时出国经费管理</w:t>
      </w:r>
      <w:r w:rsidR="00F1698E" w:rsidRPr="00C82632">
        <w:rPr>
          <w:rFonts w:ascii="仿宋_GB2312" w:eastAsia="仿宋_GB2312" w:hAnsi="仿宋" w:cs="仿宋" w:hint="eastAsia"/>
          <w:sz w:val="30"/>
          <w:szCs w:val="30"/>
        </w:rPr>
        <w:t>办法》</w:t>
      </w:r>
      <w:r w:rsidR="00EC2224" w:rsidRPr="00C82632">
        <w:rPr>
          <w:rFonts w:ascii="仿宋_GB2312" w:eastAsia="仿宋_GB2312" w:hAnsi="仿宋" w:cs="仿宋" w:hint="eastAsia"/>
          <w:sz w:val="30"/>
          <w:szCs w:val="30"/>
        </w:rPr>
        <w:t>（同济</w:t>
      </w:r>
      <w:r w:rsidR="00F1698E" w:rsidRPr="00C82632">
        <w:rPr>
          <w:rFonts w:ascii="仿宋_GB2312" w:eastAsia="仿宋_GB2312" w:hAnsi="仿宋" w:cs="仿宋" w:hint="eastAsia"/>
          <w:sz w:val="30"/>
          <w:szCs w:val="30"/>
        </w:rPr>
        <w:t>财〔201</w:t>
      </w:r>
      <w:r w:rsidR="00F1698E" w:rsidRPr="00C82632">
        <w:rPr>
          <w:rFonts w:ascii="仿宋_GB2312" w:eastAsia="仿宋_GB2312" w:hAnsi="仿宋" w:cs="仿宋"/>
          <w:sz w:val="30"/>
          <w:szCs w:val="30"/>
        </w:rPr>
        <w:t>8</w:t>
      </w:r>
      <w:r w:rsidR="00F1698E" w:rsidRPr="00C82632">
        <w:rPr>
          <w:rFonts w:ascii="仿宋_GB2312" w:eastAsia="仿宋_GB2312" w:hAnsi="仿宋" w:cs="仿宋" w:hint="eastAsia"/>
          <w:sz w:val="30"/>
          <w:szCs w:val="30"/>
        </w:rPr>
        <w:t>〕15号）</w:t>
      </w:r>
      <w:r w:rsidR="000A329A" w:rsidRPr="00C82632">
        <w:rPr>
          <w:rFonts w:ascii="仿宋_GB2312" w:eastAsia="仿宋_GB2312" w:hAnsi="仿宋" w:cs="仿宋" w:hint="eastAsia"/>
          <w:sz w:val="30"/>
          <w:szCs w:val="30"/>
        </w:rPr>
        <w:t>附件“各国和地区住宿费、伙食费、公杂费开支标准表”规定的标准之内予以报销。</w:t>
      </w:r>
    </w:p>
    <w:p w:rsidR="000A329A" w:rsidRPr="00C82632" w:rsidRDefault="005373DC" w:rsidP="00C82632">
      <w:pPr>
        <w:spacing w:line="60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十二</w:t>
      </w:r>
      <w:r w:rsidR="003E631B" w:rsidRPr="00C82632">
        <w:rPr>
          <w:rFonts w:ascii="仿宋_GB2312" w:eastAsia="仿宋_GB2312" w:hAnsi="仿宋" w:cs="仿宋" w:hint="eastAsia"/>
          <w:sz w:val="30"/>
          <w:szCs w:val="30"/>
        </w:rPr>
        <w:t>、</w:t>
      </w:r>
      <w:r w:rsidR="000A329A" w:rsidRPr="00C82632">
        <w:rPr>
          <w:rFonts w:ascii="仿宋_GB2312" w:eastAsia="仿宋_GB2312" w:hAnsi="仿宋" w:cs="仿宋" w:hint="eastAsia"/>
          <w:sz w:val="30"/>
          <w:szCs w:val="30"/>
        </w:rPr>
        <w:t>出国十四天以下的（含十四天），伙食费和公杂费按照附件“各国和地区住宿费、伙食费、公杂费开支标准表”规定的标准执行；超过十四天的</w:t>
      </w:r>
      <w:r w:rsidR="00EC2224" w:rsidRPr="00C82632">
        <w:rPr>
          <w:rFonts w:ascii="仿宋_GB2312" w:eastAsia="仿宋_GB2312" w:hAnsi="仿宋" w:cs="仿宋" w:hint="eastAsia"/>
          <w:sz w:val="30"/>
          <w:szCs w:val="30"/>
        </w:rPr>
        <w:t>按照“关于印发《关于〈同济大学因公临时出国经费管理办法〉的说明》的通知”（同济外〔201</w:t>
      </w:r>
      <w:r w:rsidR="00EC2224" w:rsidRPr="00C82632">
        <w:rPr>
          <w:rFonts w:ascii="仿宋_GB2312" w:eastAsia="仿宋_GB2312" w:hAnsi="仿宋" w:cs="仿宋"/>
          <w:sz w:val="30"/>
          <w:szCs w:val="30"/>
        </w:rPr>
        <w:t>8</w:t>
      </w:r>
      <w:r w:rsidR="00EC2224" w:rsidRPr="00C82632">
        <w:rPr>
          <w:rFonts w:ascii="仿宋_GB2312" w:eastAsia="仿宋_GB2312" w:hAnsi="仿宋" w:cs="仿宋" w:hint="eastAsia"/>
          <w:sz w:val="30"/>
          <w:szCs w:val="30"/>
        </w:rPr>
        <w:t>〕149号）执行</w:t>
      </w:r>
      <w:r w:rsidR="000A329A" w:rsidRPr="00C82632">
        <w:rPr>
          <w:rFonts w:ascii="仿宋_GB2312" w:eastAsia="仿宋_GB2312" w:hAnsi="仿宋" w:cs="仿宋" w:hint="eastAsia"/>
          <w:sz w:val="30"/>
          <w:szCs w:val="30"/>
        </w:rPr>
        <w:t>。</w:t>
      </w:r>
    </w:p>
    <w:p w:rsidR="000A329A" w:rsidRPr="00C82632" w:rsidRDefault="005373DC" w:rsidP="00C82632">
      <w:pPr>
        <w:spacing w:line="60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十三</w:t>
      </w:r>
      <w:r w:rsidR="003E631B" w:rsidRPr="00C82632">
        <w:rPr>
          <w:rFonts w:ascii="仿宋_GB2312" w:eastAsia="仿宋_GB2312" w:hAnsi="仿宋" w:cs="仿宋"/>
          <w:sz w:val="30"/>
          <w:szCs w:val="30"/>
        </w:rPr>
        <w:t>、</w:t>
      </w:r>
      <w:r w:rsidR="000A329A" w:rsidRPr="00C82632">
        <w:rPr>
          <w:rFonts w:ascii="仿宋_GB2312" w:eastAsia="仿宋_GB2312" w:hAnsi="仿宋" w:cs="仿宋" w:hint="eastAsia"/>
          <w:sz w:val="30"/>
          <w:szCs w:val="30"/>
        </w:rPr>
        <w:t>出访用餐应当勤俭节约，不上高档菜肴和酒水，自助餐也要注意节俭。</w:t>
      </w:r>
    </w:p>
    <w:p w:rsidR="000A329A" w:rsidRPr="00C82632" w:rsidRDefault="003E631B" w:rsidP="00C82632">
      <w:pPr>
        <w:spacing w:line="600" w:lineRule="exact"/>
        <w:ind w:firstLineChars="200" w:firstLine="600"/>
        <w:jc w:val="left"/>
        <w:rPr>
          <w:rFonts w:ascii="仿宋_GB2312" w:eastAsia="仿宋_GB2312" w:hAnsi="仿宋" w:cs="仿宋"/>
          <w:sz w:val="30"/>
          <w:szCs w:val="30"/>
        </w:rPr>
      </w:pPr>
      <w:r w:rsidRPr="00C82632">
        <w:rPr>
          <w:rFonts w:ascii="仿宋_GB2312" w:eastAsia="仿宋_GB2312" w:hAnsi="仿宋" w:cs="仿宋" w:hint="eastAsia"/>
          <w:sz w:val="30"/>
          <w:szCs w:val="30"/>
        </w:rPr>
        <w:t>十</w:t>
      </w:r>
      <w:r w:rsidR="005373DC">
        <w:rPr>
          <w:rFonts w:ascii="仿宋_GB2312" w:eastAsia="仿宋_GB2312" w:hAnsi="仿宋" w:cs="仿宋" w:hint="eastAsia"/>
          <w:sz w:val="30"/>
          <w:szCs w:val="30"/>
        </w:rPr>
        <w:t>四</w:t>
      </w:r>
      <w:r w:rsidRPr="00C82632">
        <w:rPr>
          <w:rFonts w:ascii="仿宋_GB2312" w:eastAsia="仿宋_GB2312" w:hAnsi="仿宋" w:cs="仿宋" w:hint="eastAsia"/>
          <w:sz w:val="30"/>
          <w:szCs w:val="30"/>
        </w:rPr>
        <w:t>、</w:t>
      </w:r>
      <w:r w:rsidR="000A329A" w:rsidRPr="00C82632">
        <w:rPr>
          <w:rFonts w:ascii="Calibri" w:eastAsia="仿宋_GB2312" w:hAnsi="Calibri" w:cs="Calibri"/>
          <w:sz w:val="30"/>
          <w:szCs w:val="30"/>
        </w:rPr>
        <w:t> </w:t>
      </w:r>
      <w:r w:rsidR="000A329A" w:rsidRPr="00C82632">
        <w:rPr>
          <w:rFonts w:ascii="仿宋_GB2312" w:eastAsia="仿宋_GB2312" w:hAnsi="仿宋" w:cs="仿宋" w:hint="eastAsia"/>
          <w:sz w:val="30"/>
          <w:szCs w:val="30"/>
        </w:rPr>
        <w:t>出访团组对外原则上不搞宴请，确需宴请的，应当连同出国计划一并报学校外事办公室批准，宴请标准按照附件“各国和地区住宿费、伙食费、公杂费开支标准表”所在国家一人一天的伙食费标准掌握。</w:t>
      </w:r>
    </w:p>
    <w:p w:rsidR="000A329A" w:rsidRPr="00C82632" w:rsidRDefault="003E631B" w:rsidP="00C82632">
      <w:pPr>
        <w:spacing w:line="600" w:lineRule="exact"/>
        <w:ind w:firstLineChars="200" w:firstLine="600"/>
        <w:jc w:val="left"/>
        <w:rPr>
          <w:rFonts w:ascii="仿宋_GB2312" w:eastAsia="仿宋_GB2312" w:hAnsi="仿宋" w:cs="仿宋"/>
          <w:sz w:val="30"/>
          <w:szCs w:val="30"/>
        </w:rPr>
      </w:pPr>
      <w:r w:rsidRPr="00C82632">
        <w:rPr>
          <w:rFonts w:ascii="仿宋_GB2312" w:eastAsia="仿宋_GB2312" w:hAnsi="仿宋" w:cs="仿宋" w:hint="eastAsia"/>
          <w:sz w:val="30"/>
          <w:szCs w:val="30"/>
        </w:rPr>
        <w:lastRenderedPageBreak/>
        <w:t>十</w:t>
      </w:r>
      <w:r w:rsidR="005373DC">
        <w:rPr>
          <w:rFonts w:ascii="仿宋_GB2312" w:eastAsia="仿宋_GB2312" w:hAnsi="仿宋" w:cs="仿宋" w:hint="eastAsia"/>
          <w:sz w:val="30"/>
          <w:szCs w:val="30"/>
        </w:rPr>
        <w:t>五</w:t>
      </w:r>
      <w:r w:rsidRPr="00C82632">
        <w:rPr>
          <w:rFonts w:ascii="仿宋_GB2312" w:eastAsia="仿宋_GB2312" w:hAnsi="仿宋" w:cs="仿宋"/>
          <w:sz w:val="30"/>
          <w:szCs w:val="30"/>
        </w:rPr>
        <w:t>、</w:t>
      </w:r>
      <w:r w:rsidR="000A329A" w:rsidRPr="00C82632">
        <w:rPr>
          <w:rFonts w:ascii="Calibri" w:eastAsia="仿宋_GB2312" w:hAnsi="Calibri" w:cs="Calibri"/>
          <w:sz w:val="30"/>
          <w:szCs w:val="30"/>
        </w:rPr>
        <w:t> </w:t>
      </w:r>
      <w:r w:rsidR="000A329A" w:rsidRPr="00C82632">
        <w:rPr>
          <w:rFonts w:ascii="仿宋_GB2312" w:eastAsia="仿宋_GB2312" w:hAnsi="仿宋" w:cs="仿宋" w:hint="eastAsia"/>
          <w:sz w:val="30"/>
          <w:szCs w:val="30"/>
        </w:rPr>
        <w:t>出访团组在国外期间，收授礼品应当严格按有关规定执行。原则上不对外赠送礼品，确有必要赠送的，应当事先报经学校外事办公室审批同意，按照厉行节俭的原则，参照《同济大学外宾接待经费暂行规定》（同委办发〔2014〕2号）中的对外赠礼标准，选择具有民族特色的纪念品、传统手工艺品和实用物品，朴素大方，不求奢华。</w:t>
      </w:r>
    </w:p>
    <w:p w:rsidR="009038F1" w:rsidRPr="00C82632" w:rsidRDefault="00B7013A" w:rsidP="00C82632">
      <w:pPr>
        <w:spacing w:line="600" w:lineRule="exact"/>
        <w:ind w:firstLineChars="200" w:firstLine="600"/>
        <w:jc w:val="left"/>
        <w:rPr>
          <w:rFonts w:ascii="仿宋_GB2312" w:eastAsia="仿宋_GB2312" w:hAnsi="仿宋" w:cs="仿宋"/>
          <w:sz w:val="30"/>
          <w:szCs w:val="30"/>
        </w:rPr>
      </w:pPr>
      <w:r w:rsidRPr="00C82632">
        <w:rPr>
          <w:rFonts w:ascii="仿宋_GB2312" w:eastAsia="仿宋_GB2312" w:hAnsi="仿宋" w:cs="仿宋" w:hint="eastAsia"/>
          <w:sz w:val="30"/>
          <w:szCs w:val="30"/>
        </w:rPr>
        <w:t>十</w:t>
      </w:r>
      <w:r w:rsidR="005373DC">
        <w:rPr>
          <w:rFonts w:ascii="仿宋_GB2312" w:eastAsia="仿宋_GB2312" w:hAnsi="仿宋" w:cs="仿宋" w:hint="eastAsia"/>
          <w:sz w:val="30"/>
          <w:szCs w:val="30"/>
        </w:rPr>
        <w:t>六</w:t>
      </w:r>
      <w:bookmarkStart w:id="0" w:name="_GoBack"/>
      <w:bookmarkEnd w:id="0"/>
      <w:r w:rsidRPr="00C82632">
        <w:rPr>
          <w:rFonts w:ascii="仿宋_GB2312" w:eastAsia="仿宋_GB2312" w:hAnsi="仿宋" w:cs="仿宋" w:hint="eastAsia"/>
          <w:sz w:val="30"/>
          <w:szCs w:val="30"/>
        </w:rPr>
        <w:t>、</w:t>
      </w:r>
      <w:r w:rsidR="003E631B" w:rsidRPr="00C82632">
        <w:rPr>
          <w:rFonts w:ascii="仿宋_GB2312" w:eastAsia="仿宋_GB2312" w:hAnsi="仿宋" w:cs="仿宋" w:hint="eastAsia"/>
          <w:sz w:val="30"/>
          <w:szCs w:val="30"/>
        </w:rPr>
        <w:t>严禁接受或变相接受企事业单位资助，严禁向下属单位、企业、驻外机构等摊派或转嫁出访费用。</w:t>
      </w:r>
    </w:p>
    <w:p w:rsidR="003E631B" w:rsidRPr="00C82632" w:rsidRDefault="003E631B" w:rsidP="00C82632">
      <w:pPr>
        <w:spacing w:line="600" w:lineRule="exact"/>
        <w:ind w:firstLineChars="200" w:firstLine="600"/>
        <w:jc w:val="left"/>
        <w:rPr>
          <w:rFonts w:ascii="仿宋_GB2312" w:eastAsia="仿宋_GB2312" w:hAnsi="仿宋" w:cs="楷体_GB2312"/>
          <w:sz w:val="30"/>
          <w:szCs w:val="30"/>
        </w:rPr>
      </w:pPr>
    </w:p>
    <w:p w:rsidR="003F7527" w:rsidRPr="00C82632" w:rsidRDefault="007C2539" w:rsidP="00C82632">
      <w:pPr>
        <w:spacing w:line="600" w:lineRule="exact"/>
        <w:ind w:firstLineChars="200" w:firstLine="600"/>
        <w:jc w:val="left"/>
        <w:rPr>
          <w:rFonts w:ascii="楷体_GB2312" w:eastAsia="楷体_GB2312"/>
          <w:sz w:val="30"/>
          <w:szCs w:val="30"/>
        </w:rPr>
      </w:pPr>
      <w:r w:rsidRPr="00C82632">
        <w:rPr>
          <w:rFonts w:ascii="楷体_GB2312" w:eastAsia="楷体_GB2312" w:hint="eastAsia"/>
          <w:sz w:val="30"/>
          <w:szCs w:val="30"/>
        </w:rPr>
        <w:t>摘自</w:t>
      </w:r>
      <w:r w:rsidR="003F7527" w:rsidRPr="00C82632">
        <w:rPr>
          <w:rFonts w:ascii="楷体_GB2312" w:eastAsia="楷体_GB2312" w:hint="eastAsia"/>
          <w:sz w:val="30"/>
          <w:szCs w:val="30"/>
        </w:rPr>
        <w:t>《同济大学关于中层干部因公出国的管理暂行规定》（同委发〔2014〕17号）、《同济大学因公临时出国经费管理办法》（同</w:t>
      </w:r>
      <w:r w:rsidR="005B356E" w:rsidRPr="00C82632">
        <w:rPr>
          <w:rFonts w:ascii="楷体_GB2312" w:eastAsia="楷体_GB2312" w:hint="eastAsia"/>
          <w:sz w:val="30"/>
          <w:szCs w:val="30"/>
        </w:rPr>
        <w:t>济</w:t>
      </w:r>
      <w:r w:rsidR="003F7527" w:rsidRPr="00C82632">
        <w:rPr>
          <w:rFonts w:ascii="楷体_GB2312" w:eastAsia="楷体_GB2312" w:hint="eastAsia"/>
          <w:sz w:val="30"/>
          <w:szCs w:val="30"/>
        </w:rPr>
        <w:t>财〔201</w:t>
      </w:r>
      <w:r w:rsidR="003E631B" w:rsidRPr="00C82632">
        <w:rPr>
          <w:rFonts w:ascii="楷体_GB2312" w:eastAsia="楷体_GB2312"/>
          <w:sz w:val="30"/>
          <w:szCs w:val="30"/>
        </w:rPr>
        <w:t>8</w:t>
      </w:r>
      <w:r w:rsidR="003F7527" w:rsidRPr="00C82632">
        <w:rPr>
          <w:rFonts w:ascii="楷体_GB2312" w:eastAsia="楷体_GB2312" w:hint="eastAsia"/>
          <w:sz w:val="30"/>
          <w:szCs w:val="30"/>
        </w:rPr>
        <w:t>〕</w:t>
      </w:r>
      <w:r w:rsidR="003E631B" w:rsidRPr="00C82632">
        <w:rPr>
          <w:rFonts w:ascii="楷体_GB2312" w:eastAsia="楷体_GB2312" w:hint="eastAsia"/>
          <w:sz w:val="30"/>
          <w:szCs w:val="30"/>
        </w:rPr>
        <w:t>15</w:t>
      </w:r>
      <w:r w:rsidR="003F7527" w:rsidRPr="00C82632">
        <w:rPr>
          <w:rFonts w:ascii="楷体_GB2312" w:eastAsia="楷体_GB2312" w:hint="eastAsia"/>
          <w:sz w:val="30"/>
          <w:szCs w:val="30"/>
        </w:rPr>
        <w:t>号）</w:t>
      </w:r>
      <w:r w:rsidR="005B356E" w:rsidRPr="00C82632">
        <w:rPr>
          <w:rFonts w:ascii="楷体_GB2312" w:eastAsia="楷体_GB2312" w:hint="eastAsia"/>
          <w:sz w:val="30"/>
          <w:szCs w:val="30"/>
        </w:rPr>
        <w:t>、《</w:t>
      </w:r>
      <w:r w:rsidR="005B356E" w:rsidRPr="00C82632">
        <w:rPr>
          <w:rFonts w:ascii="仿宋_GB2312" w:eastAsia="仿宋_GB2312" w:hAnsi="仿宋" w:cs="仿宋" w:hint="eastAsia"/>
          <w:sz w:val="30"/>
          <w:szCs w:val="30"/>
        </w:rPr>
        <w:t>关于</w:t>
      </w:r>
      <w:r w:rsidR="005B356E" w:rsidRPr="00C82632">
        <w:rPr>
          <w:rFonts w:ascii="Arial Unicode MS" w:eastAsia="Arial Unicode MS" w:hAnsi="Arial Unicode MS" w:cs="Arial Unicode MS" w:hint="eastAsia"/>
          <w:sz w:val="30"/>
          <w:szCs w:val="30"/>
        </w:rPr>
        <w:t>〈</w:t>
      </w:r>
      <w:r w:rsidR="005B356E" w:rsidRPr="00C82632">
        <w:rPr>
          <w:rFonts w:ascii="楷体_GB2312" w:eastAsia="楷体_GB2312" w:hint="eastAsia"/>
          <w:sz w:val="30"/>
          <w:szCs w:val="30"/>
        </w:rPr>
        <w:t>同济大学因公临时出国经费管理办法</w:t>
      </w:r>
      <w:r w:rsidR="005B356E" w:rsidRPr="00C82632">
        <w:rPr>
          <w:rFonts w:ascii="Arial Unicode MS" w:eastAsia="Arial Unicode MS" w:hAnsi="Arial Unicode MS" w:cs="Arial Unicode MS" w:hint="eastAsia"/>
          <w:sz w:val="30"/>
          <w:szCs w:val="30"/>
        </w:rPr>
        <w:t>〉</w:t>
      </w:r>
      <w:r w:rsidR="005B356E" w:rsidRPr="00C82632">
        <w:rPr>
          <w:rFonts w:ascii="楷体_GB2312" w:eastAsia="楷体_GB2312" w:hint="eastAsia"/>
          <w:sz w:val="30"/>
          <w:szCs w:val="30"/>
        </w:rPr>
        <w:t>的说明》（同济外〔201</w:t>
      </w:r>
      <w:r w:rsidR="005B356E" w:rsidRPr="00C82632">
        <w:rPr>
          <w:rFonts w:ascii="楷体_GB2312" w:eastAsia="楷体_GB2312"/>
          <w:sz w:val="30"/>
          <w:szCs w:val="30"/>
        </w:rPr>
        <w:t>8</w:t>
      </w:r>
      <w:r w:rsidR="005B356E" w:rsidRPr="00C82632">
        <w:rPr>
          <w:rFonts w:ascii="楷体_GB2312" w:eastAsia="楷体_GB2312" w:hint="eastAsia"/>
          <w:sz w:val="30"/>
          <w:szCs w:val="30"/>
        </w:rPr>
        <w:t>〕149号）</w:t>
      </w:r>
    </w:p>
    <w:p w:rsidR="007C2539" w:rsidRPr="00C82632" w:rsidRDefault="007C2539" w:rsidP="00C82632">
      <w:pPr>
        <w:spacing w:line="600" w:lineRule="exact"/>
        <w:ind w:firstLineChars="200" w:firstLine="600"/>
        <w:jc w:val="left"/>
        <w:rPr>
          <w:rFonts w:ascii="仿宋_GB2312" w:eastAsia="仿宋_GB2312"/>
          <w:sz w:val="30"/>
          <w:szCs w:val="30"/>
        </w:rPr>
      </w:pPr>
    </w:p>
    <w:sectPr w:rsidR="007C2539" w:rsidRPr="00C82632" w:rsidSect="005C4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A4" w:rsidRDefault="00C667A4" w:rsidP="00315B90">
      <w:r>
        <w:separator/>
      </w:r>
    </w:p>
  </w:endnote>
  <w:endnote w:type="continuationSeparator" w:id="0">
    <w:p w:rsidR="00C667A4" w:rsidRDefault="00C667A4" w:rsidP="003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A4" w:rsidRDefault="00C667A4" w:rsidP="00315B90">
      <w:r>
        <w:separator/>
      </w:r>
    </w:p>
  </w:footnote>
  <w:footnote w:type="continuationSeparator" w:id="0">
    <w:p w:rsidR="00C667A4" w:rsidRDefault="00C667A4" w:rsidP="00315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3EC"/>
    <w:rsid w:val="000113B5"/>
    <w:rsid w:val="000158F3"/>
    <w:rsid w:val="00025762"/>
    <w:rsid w:val="0003006E"/>
    <w:rsid w:val="00053E16"/>
    <w:rsid w:val="00060D19"/>
    <w:rsid w:val="00062F0C"/>
    <w:rsid w:val="00095400"/>
    <w:rsid w:val="000A329A"/>
    <w:rsid w:val="000B7523"/>
    <w:rsid w:val="000C3275"/>
    <w:rsid w:val="00106236"/>
    <w:rsid w:val="00127A14"/>
    <w:rsid w:val="001532FD"/>
    <w:rsid w:val="00177C88"/>
    <w:rsid w:val="00180FB2"/>
    <w:rsid w:val="00185542"/>
    <w:rsid w:val="001B6FFF"/>
    <w:rsid w:val="00202B48"/>
    <w:rsid w:val="002048CA"/>
    <w:rsid w:val="002124C9"/>
    <w:rsid w:val="002242E0"/>
    <w:rsid w:val="00243780"/>
    <w:rsid w:val="00245295"/>
    <w:rsid w:val="00245803"/>
    <w:rsid w:val="00255F57"/>
    <w:rsid w:val="00263AF3"/>
    <w:rsid w:val="002953EC"/>
    <w:rsid w:val="002A206D"/>
    <w:rsid w:val="002D1C53"/>
    <w:rsid w:val="002F02FC"/>
    <w:rsid w:val="00307D0C"/>
    <w:rsid w:val="00315B90"/>
    <w:rsid w:val="0032027D"/>
    <w:rsid w:val="00345DA5"/>
    <w:rsid w:val="003536FA"/>
    <w:rsid w:val="00355F9C"/>
    <w:rsid w:val="0037616E"/>
    <w:rsid w:val="003C6656"/>
    <w:rsid w:val="003E118E"/>
    <w:rsid w:val="003E52CA"/>
    <w:rsid w:val="003E631B"/>
    <w:rsid w:val="003F7527"/>
    <w:rsid w:val="00403D2E"/>
    <w:rsid w:val="00415D9C"/>
    <w:rsid w:val="00436F13"/>
    <w:rsid w:val="00447B19"/>
    <w:rsid w:val="00452D4D"/>
    <w:rsid w:val="00456816"/>
    <w:rsid w:val="00456F3C"/>
    <w:rsid w:val="004623B0"/>
    <w:rsid w:val="004850B5"/>
    <w:rsid w:val="004B05ED"/>
    <w:rsid w:val="004B5941"/>
    <w:rsid w:val="004E0527"/>
    <w:rsid w:val="00516121"/>
    <w:rsid w:val="005373DC"/>
    <w:rsid w:val="00562931"/>
    <w:rsid w:val="005B356E"/>
    <w:rsid w:val="005C4128"/>
    <w:rsid w:val="005D53C8"/>
    <w:rsid w:val="005D64F1"/>
    <w:rsid w:val="0060651C"/>
    <w:rsid w:val="006253D2"/>
    <w:rsid w:val="0064099B"/>
    <w:rsid w:val="006509B3"/>
    <w:rsid w:val="00655C5F"/>
    <w:rsid w:val="0067797C"/>
    <w:rsid w:val="006C6BD6"/>
    <w:rsid w:val="006E1139"/>
    <w:rsid w:val="00731627"/>
    <w:rsid w:val="00737FC0"/>
    <w:rsid w:val="00750C1D"/>
    <w:rsid w:val="00786C77"/>
    <w:rsid w:val="007A1A72"/>
    <w:rsid w:val="007C2539"/>
    <w:rsid w:val="007E57BA"/>
    <w:rsid w:val="007F660C"/>
    <w:rsid w:val="00813FE3"/>
    <w:rsid w:val="0081426B"/>
    <w:rsid w:val="00820530"/>
    <w:rsid w:val="00830AA7"/>
    <w:rsid w:val="0083333F"/>
    <w:rsid w:val="00841196"/>
    <w:rsid w:val="00844C6F"/>
    <w:rsid w:val="008620EE"/>
    <w:rsid w:val="008840AB"/>
    <w:rsid w:val="00886A96"/>
    <w:rsid w:val="008B39BE"/>
    <w:rsid w:val="008B5B80"/>
    <w:rsid w:val="008D603C"/>
    <w:rsid w:val="009038F1"/>
    <w:rsid w:val="009567EF"/>
    <w:rsid w:val="00966858"/>
    <w:rsid w:val="00977892"/>
    <w:rsid w:val="00993220"/>
    <w:rsid w:val="009A1CD4"/>
    <w:rsid w:val="009A35BE"/>
    <w:rsid w:val="009D0A1D"/>
    <w:rsid w:val="009D322B"/>
    <w:rsid w:val="009F20F3"/>
    <w:rsid w:val="00A10523"/>
    <w:rsid w:val="00A31FB2"/>
    <w:rsid w:val="00A35391"/>
    <w:rsid w:val="00A4630D"/>
    <w:rsid w:val="00A52F64"/>
    <w:rsid w:val="00A829AC"/>
    <w:rsid w:val="00A84F89"/>
    <w:rsid w:val="00AA7C9E"/>
    <w:rsid w:val="00AC3674"/>
    <w:rsid w:val="00B17CF9"/>
    <w:rsid w:val="00B352E2"/>
    <w:rsid w:val="00B56B14"/>
    <w:rsid w:val="00B572D7"/>
    <w:rsid w:val="00B670D2"/>
    <w:rsid w:val="00B7013A"/>
    <w:rsid w:val="00B932E7"/>
    <w:rsid w:val="00BE3672"/>
    <w:rsid w:val="00C60504"/>
    <w:rsid w:val="00C667A4"/>
    <w:rsid w:val="00C66BCB"/>
    <w:rsid w:val="00C82632"/>
    <w:rsid w:val="00CC2CF0"/>
    <w:rsid w:val="00CC3C31"/>
    <w:rsid w:val="00CC7571"/>
    <w:rsid w:val="00CE5579"/>
    <w:rsid w:val="00CE6270"/>
    <w:rsid w:val="00D02C50"/>
    <w:rsid w:val="00D035B9"/>
    <w:rsid w:val="00D14F78"/>
    <w:rsid w:val="00D329B8"/>
    <w:rsid w:val="00D81273"/>
    <w:rsid w:val="00D83EBB"/>
    <w:rsid w:val="00D922C8"/>
    <w:rsid w:val="00DA2160"/>
    <w:rsid w:val="00DA6C96"/>
    <w:rsid w:val="00DC191C"/>
    <w:rsid w:val="00DF2241"/>
    <w:rsid w:val="00DF30D3"/>
    <w:rsid w:val="00DF3716"/>
    <w:rsid w:val="00E01EBF"/>
    <w:rsid w:val="00E04D8A"/>
    <w:rsid w:val="00E078CD"/>
    <w:rsid w:val="00E20CA1"/>
    <w:rsid w:val="00E2411C"/>
    <w:rsid w:val="00E274E0"/>
    <w:rsid w:val="00E27D9C"/>
    <w:rsid w:val="00E8212C"/>
    <w:rsid w:val="00E85BC4"/>
    <w:rsid w:val="00E86A85"/>
    <w:rsid w:val="00EC195D"/>
    <w:rsid w:val="00EC2224"/>
    <w:rsid w:val="00F1698E"/>
    <w:rsid w:val="00F655A4"/>
    <w:rsid w:val="00F97DDF"/>
    <w:rsid w:val="00FB38F6"/>
    <w:rsid w:val="00FE116C"/>
    <w:rsid w:val="00FE5BDC"/>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B5CEC-2754-4E11-B9FE-A36E748D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28"/>
    <w:pPr>
      <w:widowControl w:val="0"/>
      <w:jc w:val="both"/>
    </w:pPr>
  </w:style>
  <w:style w:type="paragraph" w:styleId="1">
    <w:name w:val="heading 1"/>
    <w:basedOn w:val="a"/>
    <w:next w:val="a"/>
    <w:link w:val="1Char"/>
    <w:uiPriority w:val="9"/>
    <w:qFormat/>
    <w:rsid w:val="007C25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539"/>
    <w:rPr>
      <w:b/>
      <w:bCs/>
      <w:kern w:val="44"/>
      <w:sz w:val="44"/>
      <w:szCs w:val="44"/>
    </w:rPr>
  </w:style>
  <w:style w:type="paragraph" w:styleId="a3">
    <w:name w:val="header"/>
    <w:basedOn w:val="a"/>
    <w:link w:val="Char"/>
    <w:uiPriority w:val="99"/>
    <w:unhideWhenUsed/>
    <w:rsid w:val="00315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B90"/>
    <w:rPr>
      <w:sz w:val="18"/>
      <w:szCs w:val="18"/>
    </w:rPr>
  </w:style>
  <w:style w:type="paragraph" w:styleId="a4">
    <w:name w:val="footer"/>
    <w:basedOn w:val="a"/>
    <w:link w:val="Char0"/>
    <w:uiPriority w:val="99"/>
    <w:unhideWhenUsed/>
    <w:rsid w:val="00315B90"/>
    <w:pPr>
      <w:tabs>
        <w:tab w:val="center" w:pos="4153"/>
        <w:tab w:val="right" w:pos="8306"/>
      </w:tabs>
      <w:snapToGrid w:val="0"/>
      <w:jc w:val="left"/>
    </w:pPr>
    <w:rPr>
      <w:sz w:val="18"/>
      <w:szCs w:val="18"/>
    </w:rPr>
  </w:style>
  <w:style w:type="character" w:customStyle="1" w:styleId="Char0">
    <w:name w:val="页脚 Char"/>
    <w:basedOn w:val="a0"/>
    <w:link w:val="a4"/>
    <w:uiPriority w:val="99"/>
    <w:rsid w:val="00315B90"/>
    <w:rPr>
      <w:sz w:val="18"/>
      <w:szCs w:val="18"/>
    </w:rPr>
  </w:style>
  <w:style w:type="table" w:styleId="a5">
    <w:name w:val="Table Grid"/>
    <w:basedOn w:val="a1"/>
    <w:uiPriority w:val="59"/>
    <w:rsid w:val="00993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F97DDF"/>
    <w:rPr>
      <w:sz w:val="18"/>
      <w:szCs w:val="18"/>
    </w:rPr>
  </w:style>
  <w:style w:type="character" w:customStyle="1" w:styleId="Char1">
    <w:name w:val="批注框文本 Char"/>
    <w:basedOn w:val="a0"/>
    <w:link w:val="a6"/>
    <w:uiPriority w:val="99"/>
    <w:semiHidden/>
    <w:rsid w:val="00F97D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9126">
      <w:bodyDiv w:val="1"/>
      <w:marLeft w:val="0"/>
      <w:marRight w:val="0"/>
      <w:marTop w:val="0"/>
      <w:marBottom w:val="0"/>
      <w:divBdr>
        <w:top w:val="none" w:sz="0" w:space="0" w:color="auto"/>
        <w:left w:val="none" w:sz="0" w:space="0" w:color="auto"/>
        <w:bottom w:val="none" w:sz="0" w:space="0" w:color="auto"/>
        <w:right w:val="none" w:sz="0" w:space="0" w:color="auto"/>
      </w:divBdr>
      <w:divsChild>
        <w:div w:id="689331694">
          <w:marLeft w:val="0"/>
          <w:marRight w:val="0"/>
          <w:marTop w:val="0"/>
          <w:marBottom w:val="0"/>
          <w:divBdr>
            <w:top w:val="single" w:sz="12" w:space="0" w:color="FFFFFF"/>
            <w:left w:val="single" w:sz="12" w:space="0" w:color="FFFFFF"/>
            <w:bottom w:val="single" w:sz="12" w:space="0" w:color="FFFFFF"/>
            <w:right w:val="single" w:sz="12" w:space="0" w:color="FFFFFF"/>
          </w:divBdr>
          <w:divsChild>
            <w:div w:id="2076077702">
              <w:marLeft w:val="0"/>
              <w:marRight w:val="0"/>
              <w:marTop w:val="75"/>
              <w:marBottom w:val="0"/>
              <w:divBdr>
                <w:top w:val="none" w:sz="0" w:space="0" w:color="auto"/>
                <w:left w:val="none" w:sz="0" w:space="0" w:color="auto"/>
                <w:bottom w:val="none" w:sz="0" w:space="0" w:color="auto"/>
                <w:right w:val="none" w:sz="0" w:space="0" w:color="auto"/>
              </w:divBdr>
              <w:divsChild>
                <w:div w:id="215553269">
                  <w:marLeft w:val="0"/>
                  <w:marRight w:val="0"/>
                  <w:marTop w:val="30"/>
                  <w:marBottom w:val="0"/>
                  <w:divBdr>
                    <w:top w:val="single" w:sz="6" w:space="15" w:color="BBC8D0"/>
                    <w:left w:val="single" w:sz="6" w:space="15" w:color="BBC8D0"/>
                    <w:bottom w:val="single" w:sz="6" w:space="15" w:color="BBC8D0"/>
                    <w:right w:val="single" w:sz="6" w:space="15" w:color="BBC8D0"/>
                  </w:divBdr>
                  <w:divsChild>
                    <w:div w:id="14893285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F7DC-3513-4745-93C6-A473902B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290</Words>
  <Characters>1655</Characters>
  <Application>Microsoft Office Word</Application>
  <DocSecurity>0</DocSecurity>
  <Lines>13</Lines>
  <Paragraphs>3</Paragraphs>
  <ScaleCrop>false</ScaleCrop>
  <Company>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张荣国</cp:lastModifiedBy>
  <cp:revision>26</cp:revision>
  <dcterms:created xsi:type="dcterms:W3CDTF">2017-05-16T07:18:00Z</dcterms:created>
  <dcterms:modified xsi:type="dcterms:W3CDTF">2019-10-30T00:59:00Z</dcterms:modified>
</cp:coreProperties>
</file>